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5E57E" w14:textId="77777777" w:rsidR="00892C28" w:rsidRDefault="00892C28" w:rsidP="00892C28">
      <w:pPr>
        <w:pStyle w:val="Heading1"/>
        <w:jc w:val="center"/>
        <w:rPr>
          <w:rFonts w:eastAsia="Times New Roman"/>
        </w:rPr>
      </w:pPr>
      <w:r>
        <w:rPr>
          <w:rFonts w:eastAsia="Times New Roman"/>
        </w:rPr>
        <w:t>Attachment of Additional Results</w:t>
      </w:r>
    </w:p>
    <w:p w14:paraId="7A61F7EC" w14:textId="77777777" w:rsidR="00892C28" w:rsidRDefault="00892C28" w:rsidP="00892C28"/>
    <w:p w14:paraId="1B71212E" w14:textId="77777777" w:rsidR="00892C28" w:rsidRDefault="00892C28" w:rsidP="00892C28">
      <w:pPr>
        <w:pStyle w:val="Heading2"/>
      </w:pPr>
      <w:r>
        <w:t>Performance scores</w:t>
      </w:r>
    </w:p>
    <w:p w14:paraId="5E12B2B5" w14:textId="77777777" w:rsidR="00892C28" w:rsidRDefault="00892C28" w:rsidP="00892C28">
      <w:pPr>
        <w:pStyle w:val="Heading3"/>
      </w:pPr>
      <w:r>
        <w:t>Clinician-level performance scores – 2021</w:t>
      </w:r>
    </w:p>
    <w:p w14:paraId="0E5EB129" w14:textId="77777777" w:rsidR="00892C28" w:rsidRDefault="00892C28" w:rsidP="00892C28">
      <w:r>
        <w:t>Sample size: 13</w:t>
      </w:r>
    </w:p>
    <w:p w14:paraId="61BF187B" w14:textId="77777777" w:rsidR="00892C28" w:rsidRDefault="00892C28" w:rsidP="00892C28">
      <w:r>
        <w:t>Mean: 48%</w:t>
      </w:r>
    </w:p>
    <w:p w14:paraId="7B1B156D" w14:textId="77777777" w:rsidR="00892C28" w:rsidRDefault="00892C28" w:rsidP="00892C28">
      <w:r>
        <w:t>SD: 22%</w:t>
      </w:r>
    </w:p>
    <w:p w14:paraId="5911E245" w14:textId="77777777" w:rsidR="00892C28" w:rsidRDefault="00892C28" w:rsidP="00892C28">
      <w:r>
        <w:t>Min: 20%</w:t>
      </w:r>
    </w:p>
    <w:p w14:paraId="1E224BA8" w14:textId="77777777" w:rsidR="00892C28" w:rsidRDefault="00892C28" w:rsidP="00892C28">
      <w:r>
        <w:t>Max:88%</w:t>
      </w:r>
    </w:p>
    <w:p w14:paraId="24BD36A9" w14:textId="77777777" w:rsidR="00892C28" w:rsidRDefault="00892C28" w:rsidP="00892C28">
      <w:r>
        <w:t>10th percentile: 21%</w:t>
      </w:r>
    </w:p>
    <w:p w14:paraId="09E6C7F1" w14:textId="77777777" w:rsidR="00892C28" w:rsidRDefault="00892C28" w:rsidP="00892C28">
      <w:r>
        <w:t>50th percentile: 47%</w:t>
      </w:r>
    </w:p>
    <w:p w14:paraId="75911428" w14:textId="77777777" w:rsidR="00892C28" w:rsidRDefault="00892C28" w:rsidP="00892C28">
      <w:r>
        <w:t>90th percentile: 76%</w:t>
      </w:r>
    </w:p>
    <w:p w14:paraId="59BF37CB" w14:textId="77777777" w:rsidR="00892C28" w:rsidRPr="00620740" w:rsidRDefault="00892C28" w:rsidP="00892C28"/>
    <w:p w14:paraId="17CC4AEE" w14:textId="77777777" w:rsidR="00892C28" w:rsidRDefault="00892C28" w:rsidP="00892C28">
      <w:pPr>
        <w:pStyle w:val="Heading3"/>
      </w:pPr>
      <w:r>
        <w:t>Clinician group-level performance scores – 2021 and 2022</w:t>
      </w:r>
    </w:p>
    <w:p w14:paraId="13633A52" w14:textId="77777777" w:rsidR="00892C28" w:rsidRPr="00474AFD" w:rsidRDefault="00892C28" w:rsidP="00892C28">
      <w:pPr>
        <w:rPr>
          <w:b/>
          <w:bCs/>
        </w:rPr>
      </w:pPr>
      <w:r w:rsidRPr="00474AFD">
        <w:rPr>
          <w:b/>
          <w:bCs/>
        </w:rPr>
        <w:t xml:space="preserve">2021 </w:t>
      </w:r>
    </w:p>
    <w:p w14:paraId="60C1158F" w14:textId="77777777" w:rsidR="00892C28" w:rsidRDefault="00892C28" w:rsidP="00892C28">
      <w:r>
        <w:t>Sample size: 3</w:t>
      </w:r>
    </w:p>
    <w:p w14:paraId="6A64EA82" w14:textId="77777777" w:rsidR="00892C28" w:rsidRDefault="00892C28" w:rsidP="00892C28">
      <w:r>
        <w:t>Mean: 53%</w:t>
      </w:r>
    </w:p>
    <w:p w14:paraId="3C857C15" w14:textId="77777777" w:rsidR="00892C28" w:rsidRDefault="00892C28" w:rsidP="00892C28">
      <w:r>
        <w:t>SD: 18%</w:t>
      </w:r>
    </w:p>
    <w:p w14:paraId="67F5F8F5" w14:textId="77777777" w:rsidR="00892C28" w:rsidRDefault="00892C28" w:rsidP="00892C28">
      <w:r>
        <w:t>Min: 41%</w:t>
      </w:r>
    </w:p>
    <w:p w14:paraId="625CCC35" w14:textId="77777777" w:rsidR="00892C28" w:rsidRDefault="00892C28" w:rsidP="00892C28">
      <w:r>
        <w:t>Max: 73%</w:t>
      </w:r>
    </w:p>
    <w:p w14:paraId="1D12FB1A" w14:textId="77777777" w:rsidR="00892C28" w:rsidRDefault="00892C28" w:rsidP="00892C28">
      <w:r>
        <w:t>10th percentile: 41%</w:t>
      </w:r>
    </w:p>
    <w:p w14:paraId="7C37D2DB" w14:textId="77777777" w:rsidR="00892C28" w:rsidRDefault="00892C28" w:rsidP="00892C28">
      <w:r>
        <w:t>50th percentile: 44%</w:t>
      </w:r>
    </w:p>
    <w:p w14:paraId="04A12787" w14:textId="77777777" w:rsidR="00892C28" w:rsidRDefault="00892C28" w:rsidP="00892C28">
      <w:r>
        <w:t>90th percentile: 73%</w:t>
      </w:r>
    </w:p>
    <w:p w14:paraId="35762535" w14:textId="77777777" w:rsidR="00892C28" w:rsidRDefault="00892C28" w:rsidP="00892C28"/>
    <w:p w14:paraId="107E40D1" w14:textId="77777777" w:rsidR="00892C28" w:rsidRPr="00474AFD" w:rsidRDefault="00892C28" w:rsidP="00892C28">
      <w:pPr>
        <w:rPr>
          <w:b/>
          <w:bCs/>
        </w:rPr>
      </w:pPr>
      <w:r w:rsidRPr="00474AFD">
        <w:rPr>
          <w:b/>
          <w:bCs/>
        </w:rPr>
        <w:t>2022</w:t>
      </w:r>
    </w:p>
    <w:p w14:paraId="56894E3E" w14:textId="77777777" w:rsidR="00892C28" w:rsidRDefault="00892C28" w:rsidP="00892C28">
      <w:r>
        <w:t>Sample size: 4</w:t>
      </w:r>
    </w:p>
    <w:p w14:paraId="6C8B82D4" w14:textId="77777777" w:rsidR="00892C28" w:rsidRDefault="00892C28" w:rsidP="00892C28">
      <w:r>
        <w:t>Mean: 44%</w:t>
      </w:r>
    </w:p>
    <w:p w14:paraId="3F26E4D8" w14:textId="77777777" w:rsidR="00892C28" w:rsidRDefault="00892C28" w:rsidP="00892C28">
      <w:r>
        <w:t>SD: 9%</w:t>
      </w:r>
    </w:p>
    <w:p w14:paraId="5226069D" w14:textId="77777777" w:rsidR="00892C28" w:rsidRDefault="00892C28" w:rsidP="00892C28">
      <w:r>
        <w:t>Min: 35%</w:t>
      </w:r>
    </w:p>
    <w:p w14:paraId="17D88E34" w14:textId="77777777" w:rsidR="00892C28" w:rsidRDefault="00892C28" w:rsidP="00892C28">
      <w:r>
        <w:t>Max: 57%</w:t>
      </w:r>
    </w:p>
    <w:p w14:paraId="69D41A35" w14:textId="77777777" w:rsidR="00892C28" w:rsidRDefault="00892C28" w:rsidP="00892C28">
      <w:r>
        <w:t>10th percentile: 35%</w:t>
      </w:r>
    </w:p>
    <w:p w14:paraId="08FE61BD" w14:textId="77777777" w:rsidR="00892C28" w:rsidRDefault="00892C28" w:rsidP="00892C28">
      <w:r>
        <w:t>50th percentile: 41%</w:t>
      </w:r>
    </w:p>
    <w:p w14:paraId="21F83427" w14:textId="77777777" w:rsidR="00892C28" w:rsidRDefault="00892C28" w:rsidP="00892C28">
      <w:r>
        <w:lastRenderedPageBreak/>
        <w:t>90th percentile: 57%</w:t>
      </w:r>
    </w:p>
    <w:p w14:paraId="49F58140" w14:textId="77777777" w:rsidR="00892C28" w:rsidRPr="00E1338F" w:rsidRDefault="00892C28" w:rsidP="00892C28"/>
    <w:p w14:paraId="6A6C6038" w14:textId="77777777" w:rsidR="00892C28" w:rsidRDefault="00892C28" w:rsidP="00892C28">
      <w:pPr>
        <w:pStyle w:val="Heading2"/>
      </w:pPr>
      <w:r>
        <w:t>Reliability</w:t>
      </w:r>
    </w:p>
    <w:p w14:paraId="5AB43ABB" w14:textId="77777777" w:rsidR="00892C28" w:rsidRDefault="00892C28" w:rsidP="00892C28">
      <w:r>
        <w:t>Moderate reliability – 0.4 – 0.7</w:t>
      </w:r>
    </w:p>
    <w:p w14:paraId="4F3DF179" w14:textId="77777777" w:rsidR="00892C28" w:rsidRPr="003C25D7" w:rsidRDefault="00892C28" w:rsidP="00892C28">
      <w:r>
        <w:t>High reliability - &gt;0.7</w:t>
      </w:r>
    </w:p>
    <w:p w14:paraId="16658B1F" w14:textId="77777777" w:rsidR="00892C28" w:rsidRDefault="00892C28" w:rsidP="00892C28">
      <w:pPr>
        <w:pStyle w:val="Heading3"/>
      </w:pPr>
      <w:r>
        <w:t>Intraclass correlation (random split-half) clinician-Level – 2021</w:t>
      </w:r>
    </w:p>
    <w:p w14:paraId="5096E7C5" w14:textId="77777777" w:rsidR="00892C28" w:rsidRDefault="00892C28" w:rsidP="00892C28">
      <w:r>
        <w:t>Clinician sample size: 13</w:t>
      </w:r>
    </w:p>
    <w:p w14:paraId="484663A8" w14:textId="77777777" w:rsidR="00892C28" w:rsidRDefault="00892C28" w:rsidP="00892C28">
      <w:proofErr w:type="gramStart"/>
      <w:r>
        <w:t>Clinician</w:t>
      </w:r>
      <w:proofErr w:type="gramEnd"/>
      <w:r>
        <w:t xml:space="preserve"> mean: 0.81</w:t>
      </w:r>
    </w:p>
    <w:p w14:paraId="4F69FDDF" w14:textId="77777777" w:rsidR="00892C28" w:rsidRDefault="00892C28" w:rsidP="00892C28">
      <w:r>
        <w:t>Interpretation: There is high reliability at the clinician level for 2021 with mean correlation greater than 0.7.</w:t>
      </w:r>
    </w:p>
    <w:p w14:paraId="303D25AF" w14:textId="77777777" w:rsidR="00892C28" w:rsidRDefault="00892C28" w:rsidP="00892C28"/>
    <w:p w14:paraId="34DB83F7" w14:textId="77777777" w:rsidR="00892C28" w:rsidRDefault="00892C28" w:rsidP="00892C28">
      <w:pPr>
        <w:pStyle w:val="Heading3"/>
      </w:pPr>
      <w:r>
        <w:t>Intraclass correlation (random split-half) clinician group-level – 2021 and 2022</w:t>
      </w:r>
    </w:p>
    <w:p w14:paraId="646268F4" w14:textId="77777777" w:rsidR="00892C28" w:rsidRPr="00587340" w:rsidRDefault="00892C28" w:rsidP="00892C28">
      <w:pPr>
        <w:rPr>
          <w:b/>
          <w:bCs/>
        </w:rPr>
      </w:pPr>
      <w:r w:rsidRPr="00587340">
        <w:rPr>
          <w:b/>
          <w:bCs/>
        </w:rPr>
        <w:t xml:space="preserve">2021 </w:t>
      </w:r>
    </w:p>
    <w:p w14:paraId="2E614AC2" w14:textId="77777777" w:rsidR="00892C28" w:rsidRDefault="00892C28" w:rsidP="00892C28">
      <w:r>
        <w:t>Clinician Group sample size: 3</w:t>
      </w:r>
    </w:p>
    <w:p w14:paraId="657DC074" w14:textId="77777777" w:rsidR="00892C28" w:rsidRDefault="00892C28" w:rsidP="00892C28">
      <w:r>
        <w:t>Clinician Group mean: 0.88</w:t>
      </w:r>
    </w:p>
    <w:p w14:paraId="244D0306" w14:textId="77777777" w:rsidR="00892C28" w:rsidRDefault="00892C28" w:rsidP="00892C28">
      <w:r>
        <w:t>Interpretation: There is high reliability at the clinician group-level for 2021 with mean correlation greater than 0.7.</w:t>
      </w:r>
    </w:p>
    <w:p w14:paraId="3979D1B3" w14:textId="77777777" w:rsidR="00892C28" w:rsidRDefault="00892C28" w:rsidP="00892C28"/>
    <w:p w14:paraId="116E95AC" w14:textId="77777777" w:rsidR="00892C28" w:rsidRPr="00587340" w:rsidRDefault="00892C28" w:rsidP="00892C28">
      <w:pPr>
        <w:rPr>
          <w:b/>
          <w:bCs/>
        </w:rPr>
      </w:pPr>
      <w:r w:rsidRPr="00587340">
        <w:rPr>
          <w:b/>
          <w:bCs/>
        </w:rPr>
        <w:t>2022</w:t>
      </w:r>
    </w:p>
    <w:p w14:paraId="5A70B290" w14:textId="77777777" w:rsidR="00892C28" w:rsidRDefault="00892C28" w:rsidP="00892C28">
      <w:r>
        <w:t>Clinician Group sample size: 4</w:t>
      </w:r>
    </w:p>
    <w:p w14:paraId="307F184D" w14:textId="77777777" w:rsidR="00892C28" w:rsidRDefault="00892C28" w:rsidP="00892C28">
      <w:r>
        <w:t>Clinician Group mean: 0.55</w:t>
      </w:r>
    </w:p>
    <w:p w14:paraId="16D42196" w14:textId="77777777" w:rsidR="00892C28" w:rsidRDefault="00892C28" w:rsidP="00892C28">
      <w:pPr>
        <w:rPr>
          <w:rFonts w:eastAsia="Times New Roman" w:cs="Arial"/>
        </w:rPr>
      </w:pPr>
      <w:r>
        <w:t xml:space="preserve">Interpretation: </w:t>
      </w:r>
      <w:r w:rsidRPr="00E56074">
        <w:rPr>
          <w:rFonts w:eastAsia="Times New Roman" w:cs="Arial"/>
        </w:rPr>
        <w:t xml:space="preserve">There is </w:t>
      </w:r>
      <w:r>
        <w:rPr>
          <w:rFonts w:eastAsia="Times New Roman" w:cs="Arial"/>
        </w:rPr>
        <w:t>moderate reliability at the</w:t>
      </w:r>
      <w:r w:rsidRPr="00E56074">
        <w:rPr>
          <w:rFonts w:eastAsia="Times New Roman" w:cs="Arial"/>
        </w:rPr>
        <w:t xml:space="preserve"> </w:t>
      </w:r>
      <w:r>
        <w:rPr>
          <w:rFonts w:eastAsia="Times New Roman" w:cs="Arial"/>
        </w:rPr>
        <w:t>c</w:t>
      </w:r>
      <w:r w:rsidRPr="00E56074">
        <w:rPr>
          <w:rFonts w:eastAsia="Times New Roman" w:cs="Arial"/>
        </w:rPr>
        <w:t>linician</w:t>
      </w:r>
      <w:r>
        <w:rPr>
          <w:rFonts w:eastAsia="Times New Roman" w:cs="Arial"/>
        </w:rPr>
        <w:t xml:space="preserve"> group-l</w:t>
      </w:r>
      <w:r w:rsidRPr="00E56074">
        <w:rPr>
          <w:rFonts w:eastAsia="Times New Roman" w:cs="Arial"/>
        </w:rPr>
        <w:t>evel fo</w:t>
      </w:r>
      <w:r>
        <w:rPr>
          <w:rFonts w:eastAsia="Times New Roman" w:cs="Arial"/>
        </w:rPr>
        <w:t xml:space="preserve">r 2022 </w:t>
      </w:r>
      <w:r w:rsidRPr="00E56074">
        <w:rPr>
          <w:rFonts w:eastAsia="Times New Roman" w:cs="Arial"/>
        </w:rPr>
        <w:t xml:space="preserve">with mean </w:t>
      </w:r>
      <w:r>
        <w:rPr>
          <w:rFonts w:eastAsia="Times New Roman" w:cs="Arial"/>
        </w:rPr>
        <w:t>correlation between 0.4 and 0.7</w:t>
      </w:r>
      <w:r w:rsidRPr="00E56074">
        <w:rPr>
          <w:rFonts w:eastAsia="Times New Roman" w:cs="Arial"/>
        </w:rPr>
        <w:t>.</w:t>
      </w:r>
    </w:p>
    <w:p w14:paraId="63192246" w14:textId="77777777" w:rsidR="00892C28" w:rsidRDefault="00892C28" w:rsidP="00892C28">
      <w:pPr>
        <w:rPr>
          <w:rFonts w:eastAsia="Times New Roman" w:cs="Arial"/>
        </w:rPr>
      </w:pPr>
    </w:p>
    <w:p w14:paraId="5644CCC4" w14:textId="77777777" w:rsidR="00892C28" w:rsidRDefault="00892C28" w:rsidP="00892C28">
      <w:pPr>
        <w:pStyle w:val="Heading2"/>
        <w:rPr>
          <w:rFonts w:eastAsia="Times New Roman"/>
        </w:rPr>
      </w:pPr>
      <w:r>
        <w:rPr>
          <w:rFonts w:eastAsia="Times New Roman"/>
        </w:rPr>
        <w:t>Validity</w:t>
      </w:r>
    </w:p>
    <w:p w14:paraId="28706647" w14:textId="77777777" w:rsidR="00892C28" w:rsidRDefault="00892C28" w:rsidP="00892C28">
      <w:r>
        <w:t>2021 Clinician-level hypothesis-based validity results</w:t>
      </w:r>
    </w:p>
    <w:tbl>
      <w:tblPr>
        <w:tblStyle w:val="TableGrid"/>
        <w:tblW w:w="8924" w:type="dxa"/>
        <w:tblInd w:w="161" w:type="dxa"/>
        <w:tblLayout w:type="fixed"/>
        <w:tblLook w:val="04A0" w:firstRow="1" w:lastRow="0" w:firstColumn="1" w:lastColumn="0" w:noHBand="0" w:noVBand="1"/>
      </w:tblPr>
      <w:tblGrid>
        <w:gridCol w:w="3164"/>
        <w:gridCol w:w="1530"/>
        <w:gridCol w:w="1170"/>
        <w:gridCol w:w="720"/>
        <w:gridCol w:w="810"/>
        <w:gridCol w:w="810"/>
        <w:gridCol w:w="720"/>
      </w:tblGrid>
      <w:tr w:rsidR="00892C28" w:rsidRPr="00A30441" w14:paraId="2B004B32" w14:textId="77777777" w:rsidTr="00EA147F">
        <w:tc>
          <w:tcPr>
            <w:tcW w:w="3164" w:type="dxa"/>
            <w:shd w:val="clear" w:color="auto" w:fill="D9D9D9" w:themeFill="background1" w:themeFillShade="D9"/>
          </w:tcPr>
          <w:p w14:paraId="7B107AEB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bookmarkStart w:id="0" w:name="_Hlk163576433"/>
            <w:r w:rsidRPr="00A30441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Group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4248945D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Denominator count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5708B86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Numerator count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9A5886A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Mean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5E6F4AB5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Min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E91F9DD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Max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12B73A4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Cohen</w:t>
            </w:r>
          </w:p>
        </w:tc>
      </w:tr>
      <w:tr w:rsidR="00892C28" w:rsidRPr="00A30441" w14:paraId="7B3FFD38" w14:textId="77777777" w:rsidTr="00EA147F">
        <w:tc>
          <w:tcPr>
            <w:tcW w:w="3164" w:type="dxa"/>
          </w:tcPr>
          <w:p w14:paraId="4551974E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Sex: Male</w:t>
            </w:r>
          </w:p>
        </w:tc>
        <w:tc>
          <w:tcPr>
            <w:tcW w:w="1530" w:type="dxa"/>
          </w:tcPr>
          <w:p w14:paraId="66265284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204</w:t>
            </w:r>
          </w:p>
        </w:tc>
        <w:tc>
          <w:tcPr>
            <w:tcW w:w="1170" w:type="dxa"/>
          </w:tcPr>
          <w:p w14:paraId="67388138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119</w:t>
            </w:r>
          </w:p>
        </w:tc>
        <w:tc>
          <w:tcPr>
            <w:tcW w:w="720" w:type="dxa"/>
          </w:tcPr>
          <w:p w14:paraId="7DC2376D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0.55</w:t>
            </w:r>
          </w:p>
        </w:tc>
        <w:tc>
          <w:tcPr>
            <w:tcW w:w="810" w:type="dxa"/>
          </w:tcPr>
          <w:p w14:paraId="1ED55AFE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0.22</w:t>
            </w:r>
          </w:p>
        </w:tc>
        <w:tc>
          <w:tcPr>
            <w:tcW w:w="810" w:type="dxa"/>
          </w:tcPr>
          <w:p w14:paraId="7A1088A1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0.90</w:t>
            </w:r>
          </w:p>
        </w:tc>
        <w:tc>
          <w:tcPr>
            <w:tcW w:w="720" w:type="dxa"/>
          </w:tcPr>
          <w:p w14:paraId="675677D4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</w:t>
            </w:r>
            <w:r w:rsidRPr="009D6B2A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.72</w:t>
            </w:r>
          </w:p>
        </w:tc>
      </w:tr>
      <w:tr w:rsidR="00892C28" w:rsidRPr="00A30441" w14:paraId="7497C009" w14:textId="77777777" w:rsidTr="00EA147F">
        <w:tc>
          <w:tcPr>
            <w:tcW w:w="3164" w:type="dxa"/>
          </w:tcPr>
          <w:p w14:paraId="60E23B30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Sex: Female</w:t>
            </w:r>
          </w:p>
        </w:tc>
        <w:tc>
          <w:tcPr>
            <w:tcW w:w="1530" w:type="dxa"/>
          </w:tcPr>
          <w:p w14:paraId="6205855D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121</w:t>
            </w:r>
          </w:p>
        </w:tc>
        <w:tc>
          <w:tcPr>
            <w:tcW w:w="1170" w:type="dxa"/>
          </w:tcPr>
          <w:p w14:paraId="08DA3454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51</w:t>
            </w:r>
          </w:p>
        </w:tc>
        <w:tc>
          <w:tcPr>
            <w:tcW w:w="720" w:type="dxa"/>
          </w:tcPr>
          <w:p w14:paraId="36163170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0.40</w:t>
            </w:r>
          </w:p>
        </w:tc>
        <w:tc>
          <w:tcPr>
            <w:tcW w:w="810" w:type="dxa"/>
          </w:tcPr>
          <w:p w14:paraId="0C737500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0.14</w:t>
            </w:r>
          </w:p>
        </w:tc>
        <w:tc>
          <w:tcPr>
            <w:tcW w:w="810" w:type="dxa"/>
          </w:tcPr>
          <w:p w14:paraId="445C3646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0.86</w:t>
            </w:r>
          </w:p>
        </w:tc>
        <w:tc>
          <w:tcPr>
            <w:tcW w:w="720" w:type="dxa"/>
          </w:tcPr>
          <w:p w14:paraId="209AFAE4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9D6B2A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0.72</w:t>
            </w:r>
          </w:p>
        </w:tc>
      </w:tr>
      <w:tr w:rsidR="00892C28" w:rsidRPr="00A30441" w14:paraId="3FEB39EE" w14:textId="77777777" w:rsidTr="00EA147F">
        <w:tc>
          <w:tcPr>
            <w:tcW w:w="3164" w:type="dxa"/>
            <w:shd w:val="clear" w:color="auto" w:fill="D9D9D9" w:themeFill="background1" w:themeFillShade="D9"/>
          </w:tcPr>
          <w:p w14:paraId="7CAF16D9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Insurance status: Insured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40C6D27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315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4BC467C7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170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8CE2BBD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0.50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870C176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0.21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8BA9081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0.88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8466706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9D6B2A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3.15</w:t>
            </w:r>
          </w:p>
        </w:tc>
      </w:tr>
      <w:tr w:rsidR="00892C28" w:rsidRPr="00A30441" w14:paraId="11967014" w14:textId="77777777" w:rsidTr="00EA147F">
        <w:tc>
          <w:tcPr>
            <w:tcW w:w="3164" w:type="dxa"/>
            <w:shd w:val="clear" w:color="auto" w:fill="D9D9D9" w:themeFill="background1" w:themeFillShade="D9"/>
          </w:tcPr>
          <w:p w14:paraId="3E1A36E7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Insurance status: Not insured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0EB914C9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D5F26D4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6617B9D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0.00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4D025C2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0.00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045305D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0.00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95D0BB1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9D6B2A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3.15</w:t>
            </w:r>
          </w:p>
        </w:tc>
      </w:tr>
      <w:tr w:rsidR="00892C28" w:rsidRPr="00A30441" w14:paraId="4F69D860" w14:textId="77777777" w:rsidTr="00EA147F">
        <w:tc>
          <w:tcPr>
            <w:tcW w:w="3164" w:type="dxa"/>
            <w:shd w:val="clear" w:color="auto" w:fill="auto"/>
          </w:tcPr>
          <w:p w14:paraId="53565C85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Comorbidities: Yes</w:t>
            </w:r>
          </w:p>
        </w:tc>
        <w:tc>
          <w:tcPr>
            <w:tcW w:w="1530" w:type="dxa"/>
            <w:shd w:val="clear" w:color="auto" w:fill="auto"/>
          </w:tcPr>
          <w:p w14:paraId="33284F6E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35</w:t>
            </w:r>
          </w:p>
        </w:tc>
        <w:tc>
          <w:tcPr>
            <w:tcW w:w="1170" w:type="dxa"/>
            <w:shd w:val="clear" w:color="auto" w:fill="auto"/>
          </w:tcPr>
          <w:p w14:paraId="2C7C0521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18</w:t>
            </w:r>
          </w:p>
        </w:tc>
        <w:tc>
          <w:tcPr>
            <w:tcW w:w="720" w:type="dxa"/>
            <w:shd w:val="clear" w:color="auto" w:fill="auto"/>
          </w:tcPr>
          <w:p w14:paraId="2CDD987C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0.54</w:t>
            </w:r>
          </w:p>
        </w:tc>
        <w:tc>
          <w:tcPr>
            <w:tcW w:w="810" w:type="dxa"/>
            <w:shd w:val="clear" w:color="auto" w:fill="auto"/>
          </w:tcPr>
          <w:p w14:paraId="4C2F8A30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0.00</w:t>
            </w:r>
          </w:p>
        </w:tc>
        <w:tc>
          <w:tcPr>
            <w:tcW w:w="810" w:type="dxa"/>
            <w:shd w:val="clear" w:color="auto" w:fill="auto"/>
          </w:tcPr>
          <w:p w14:paraId="56D535AB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1.00</w:t>
            </w:r>
          </w:p>
        </w:tc>
        <w:tc>
          <w:tcPr>
            <w:tcW w:w="720" w:type="dxa"/>
            <w:shd w:val="clear" w:color="auto" w:fill="auto"/>
          </w:tcPr>
          <w:p w14:paraId="4C78BFFB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9D6B2A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0.22</w:t>
            </w:r>
          </w:p>
        </w:tc>
      </w:tr>
      <w:tr w:rsidR="00892C28" w:rsidRPr="00A30441" w14:paraId="1DAC32A6" w14:textId="77777777" w:rsidTr="00EA147F">
        <w:tc>
          <w:tcPr>
            <w:tcW w:w="3164" w:type="dxa"/>
            <w:shd w:val="clear" w:color="auto" w:fill="auto"/>
          </w:tcPr>
          <w:p w14:paraId="2A9EACB3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A30441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Comorbidities: No</w:t>
            </w:r>
          </w:p>
        </w:tc>
        <w:tc>
          <w:tcPr>
            <w:tcW w:w="1530" w:type="dxa"/>
            <w:shd w:val="clear" w:color="auto" w:fill="auto"/>
          </w:tcPr>
          <w:p w14:paraId="24540FFE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291</w:t>
            </w:r>
          </w:p>
        </w:tc>
        <w:tc>
          <w:tcPr>
            <w:tcW w:w="1170" w:type="dxa"/>
            <w:shd w:val="clear" w:color="auto" w:fill="auto"/>
          </w:tcPr>
          <w:p w14:paraId="47F64942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152</w:t>
            </w:r>
          </w:p>
        </w:tc>
        <w:tc>
          <w:tcPr>
            <w:tcW w:w="720" w:type="dxa"/>
            <w:shd w:val="clear" w:color="auto" w:fill="auto"/>
          </w:tcPr>
          <w:p w14:paraId="4E65357A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0.48</w:t>
            </w:r>
          </w:p>
        </w:tc>
        <w:tc>
          <w:tcPr>
            <w:tcW w:w="810" w:type="dxa"/>
            <w:shd w:val="clear" w:color="auto" w:fill="auto"/>
          </w:tcPr>
          <w:p w14:paraId="1BC1749F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0.18</w:t>
            </w:r>
          </w:p>
        </w:tc>
        <w:tc>
          <w:tcPr>
            <w:tcW w:w="810" w:type="dxa"/>
            <w:shd w:val="clear" w:color="auto" w:fill="auto"/>
          </w:tcPr>
          <w:p w14:paraId="67A3AF6E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0.92</w:t>
            </w:r>
          </w:p>
        </w:tc>
        <w:tc>
          <w:tcPr>
            <w:tcW w:w="720" w:type="dxa"/>
            <w:shd w:val="clear" w:color="auto" w:fill="auto"/>
          </w:tcPr>
          <w:p w14:paraId="0D8E0D98" w14:textId="77777777" w:rsidR="00892C28" w:rsidRPr="00A30441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9D6B2A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0.22</w:t>
            </w:r>
          </w:p>
        </w:tc>
      </w:tr>
      <w:bookmarkEnd w:id="0"/>
    </w:tbl>
    <w:p w14:paraId="721FC725" w14:textId="77777777" w:rsidR="00892C28" w:rsidRPr="00A30441" w:rsidRDefault="00892C28" w:rsidP="00892C28"/>
    <w:p w14:paraId="4827C32A" w14:textId="77777777" w:rsidR="00892C28" w:rsidRDefault="00892C28" w:rsidP="00892C28">
      <w:pPr>
        <w:rPr>
          <w:rFonts w:eastAsia="Times New Roman" w:cs="Arial"/>
        </w:rPr>
      </w:pPr>
    </w:p>
    <w:p w14:paraId="3876EB50" w14:textId="77777777" w:rsidR="00892C28" w:rsidRDefault="00892C28" w:rsidP="00892C28">
      <w:pPr>
        <w:rPr>
          <w:rFonts w:eastAsia="Times New Roman" w:cs="Arial"/>
        </w:rPr>
      </w:pPr>
      <w:r>
        <w:rPr>
          <w:rFonts w:eastAsia="Times New Roman" w:cs="Arial"/>
        </w:rPr>
        <w:lastRenderedPageBreak/>
        <w:t>2021+2022 Patient-level hypothesis-based validity results</w:t>
      </w:r>
    </w:p>
    <w:tbl>
      <w:tblPr>
        <w:tblStyle w:val="TableGrid"/>
        <w:tblW w:w="8924" w:type="dxa"/>
        <w:tblInd w:w="161" w:type="dxa"/>
        <w:tblLayout w:type="fixed"/>
        <w:tblLook w:val="04A0" w:firstRow="1" w:lastRow="0" w:firstColumn="1" w:lastColumn="0" w:noHBand="0" w:noVBand="1"/>
      </w:tblPr>
      <w:tblGrid>
        <w:gridCol w:w="3164"/>
        <w:gridCol w:w="1530"/>
        <w:gridCol w:w="1170"/>
        <w:gridCol w:w="720"/>
        <w:gridCol w:w="810"/>
        <w:gridCol w:w="810"/>
        <w:gridCol w:w="720"/>
      </w:tblGrid>
      <w:tr w:rsidR="00892C28" w:rsidRPr="002C4199" w14:paraId="3348A5A3" w14:textId="77777777" w:rsidTr="00EA147F">
        <w:tc>
          <w:tcPr>
            <w:tcW w:w="3164" w:type="dxa"/>
            <w:shd w:val="clear" w:color="auto" w:fill="D9D9D9" w:themeFill="background1" w:themeFillShade="D9"/>
          </w:tcPr>
          <w:p w14:paraId="452E39B9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Group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196949FF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Denominator count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74882AA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Numerator count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3C9BB74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Mean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5D29292E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Min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F1DB3F6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Max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18DAD94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b/>
                <w:bCs/>
                <w:color w:val="A02B93" w:themeColor="accent5"/>
                <w:sz w:val="18"/>
                <w:szCs w:val="18"/>
              </w:rPr>
              <w:t>Cohen</w:t>
            </w:r>
          </w:p>
        </w:tc>
      </w:tr>
      <w:tr w:rsidR="00892C28" w:rsidRPr="002C4199" w14:paraId="03464627" w14:textId="77777777" w:rsidTr="00EA147F">
        <w:tc>
          <w:tcPr>
            <w:tcW w:w="3164" w:type="dxa"/>
          </w:tcPr>
          <w:p w14:paraId="050731C4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Sex: Male</w:t>
            </w:r>
          </w:p>
        </w:tc>
        <w:tc>
          <w:tcPr>
            <w:tcW w:w="1530" w:type="dxa"/>
          </w:tcPr>
          <w:p w14:paraId="000CD920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340</w:t>
            </w:r>
          </w:p>
        </w:tc>
        <w:tc>
          <w:tcPr>
            <w:tcW w:w="1170" w:type="dxa"/>
          </w:tcPr>
          <w:p w14:paraId="07F26334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171</w:t>
            </w:r>
          </w:p>
        </w:tc>
        <w:tc>
          <w:tcPr>
            <w:tcW w:w="720" w:type="dxa"/>
          </w:tcPr>
          <w:p w14:paraId="78D4710E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0.52</w:t>
            </w:r>
          </w:p>
        </w:tc>
        <w:tc>
          <w:tcPr>
            <w:tcW w:w="810" w:type="dxa"/>
          </w:tcPr>
          <w:p w14:paraId="09022DEA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0.00</w:t>
            </w:r>
          </w:p>
        </w:tc>
        <w:tc>
          <w:tcPr>
            <w:tcW w:w="810" w:type="dxa"/>
          </w:tcPr>
          <w:p w14:paraId="33A8316A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1.00</w:t>
            </w:r>
          </w:p>
        </w:tc>
        <w:tc>
          <w:tcPr>
            <w:tcW w:w="720" w:type="dxa"/>
          </w:tcPr>
          <w:p w14:paraId="567C8D51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</w:t>
            </w: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04</w:t>
            </w:r>
          </w:p>
        </w:tc>
      </w:tr>
      <w:tr w:rsidR="00892C28" w:rsidRPr="002C4199" w14:paraId="5430CE9B" w14:textId="77777777" w:rsidTr="00EA147F">
        <w:tc>
          <w:tcPr>
            <w:tcW w:w="3164" w:type="dxa"/>
          </w:tcPr>
          <w:p w14:paraId="39FE04F5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Sex: Female</w:t>
            </w:r>
          </w:p>
        </w:tc>
        <w:tc>
          <w:tcPr>
            <w:tcW w:w="1530" w:type="dxa"/>
          </w:tcPr>
          <w:p w14:paraId="61110D16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200</w:t>
            </w:r>
          </w:p>
        </w:tc>
        <w:tc>
          <w:tcPr>
            <w:tcW w:w="1170" w:type="dxa"/>
          </w:tcPr>
          <w:p w14:paraId="662FECEA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92</w:t>
            </w:r>
          </w:p>
        </w:tc>
        <w:tc>
          <w:tcPr>
            <w:tcW w:w="720" w:type="dxa"/>
          </w:tcPr>
          <w:p w14:paraId="57A0CABD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0.50</w:t>
            </w:r>
          </w:p>
        </w:tc>
        <w:tc>
          <w:tcPr>
            <w:tcW w:w="810" w:type="dxa"/>
          </w:tcPr>
          <w:p w14:paraId="4E8E868E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0.00</w:t>
            </w:r>
          </w:p>
        </w:tc>
        <w:tc>
          <w:tcPr>
            <w:tcW w:w="810" w:type="dxa"/>
          </w:tcPr>
          <w:p w14:paraId="4CCCE3E1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1.00</w:t>
            </w:r>
          </w:p>
        </w:tc>
        <w:tc>
          <w:tcPr>
            <w:tcW w:w="720" w:type="dxa"/>
          </w:tcPr>
          <w:p w14:paraId="6B4F16F6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0.04</w:t>
            </w:r>
          </w:p>
        </w:tc>
      </w:tr>
      <w:tr w:rsidR="00892C28" w:rsidRPr="002C4199" w14:paraId="3C37E9B7" w14:textId="77777777" w:rsidTr="00EA147F">
        <w:tc>
          <w:tcPr>
            <w:tcW w:w="3164" w:type="dxa"/>
            <w:shd w:val="clear" w:color="auto" w:fill="D9D9D9" w:themeFill="background1" w:themeFillShade="D9"/>
          </w:tcPr>
          <w:p w14:paraId="6F72F83B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Insurance status: Insured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28A9ED2A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523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19FC364F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260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BBC2433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0.53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BC5BEDF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0.00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C386513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1.00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A8A71AD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0.84</w:t>
            </w:r>
          </w:p>
        </w:tc>
      </w:tr>
      <w:tr w:rsidR="00892C28" w:rsidRPr="002C4199" w14:paraId="4AA34ED3" w14:textId="77777777" w:rsidTr="00EA147F">
        <w:tc>
          <w:tcPr>
            <w:tcW w:w="3164" w:type="dxa"/>
            <w:shd w:val="clear" w:color="auto" w:fill="D9D9D9" w:themeFill="background1" w:themeFillShade="D9"/>
          </w:tcPr>
          <w:p w14:paraId="480DF296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Insurance status: Not insured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5A204DEA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17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2459F9A7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ACB47DF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0.13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5391056F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0.00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D8A61D7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1.00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0D8723C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0.84</w:t>
            </w:r>
          </w:p>
        </w:tc>
      </w:tr>
      <w:tr w:rsidR="00892C28" w:rsidRPr="002C4199" w14:paraId="3BA8AAA1" w14:textId="77777777" w:rsidTr="00EA147F">
        <w:tc>
          <w:tcPr>
            <w:tcW w:w="3164" w:type="dxa"/>
            <w:shd w:val="clear" w:color="auto" w:fill="auto"/>
          </w:tcPr>
          <w:p w14:paraId="7613C51F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Comorbidities: Yes</w:t>
            </w:r>
          </w:p>
        </w:tc>
        <w:tc>
          <w:tcPr>
            <w:tcW w:w="1530" w:type="dxa"/>
            <w:shd w:val="clear" w:color="auto" w:fill="auto"/>
          </w:tcPr>
          <w:p w14:paraId="6F7E399C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71</w:t>
            </w:r>
          </w:p>
        </w:tc>
        <w:tc>
          <w:tcPr>
            <w:tcW w:w="1170" w:type="dxa"/>
            <w:shd w:val="clear" w:color="auto" w:fill="auto"/>
          </w:tcPr>
          <w:p w14:paraId="5874FF8B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41</w:t>
            </w:r>
          </w:p>
        </w:tc>
        <w:tc>
          <w:tcPr>
            <w:tcW w:w="720" w:type="dxa"/>
            <w:shd w:val="clear" w:color="auto" w:fill="auto"/>
          </w:tcPr>
          <w:p w14:paraId="1B7C6AAA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0.69</w:t>
            </w:r>
          </w:p>
        </w:tc>
        <w:tc>
          <w:tcPr>
            <w:tcW w:w="810" w:type="dxa"/>
            <w:shd w:val="clear" w:color="auto" w:fill="auto"/>
          </w:tcPr>
          <w:p w14:paraId="0F14B635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0.00</w:t>
            </w:r>
          </w:p>
        </w:tc>
        <w:tc>
          <w:tcPr>
            <w:tcW w:w="810" w:type="dxa"/>
            <w:shd w:val="clear" w:color="auto" w:fill="auto"/>
          </w:tcPr>
          <w:p w14:paraId="289EB671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1.00</w:t>
            </w:r>
          </w:p>
        </w:tc>
        <w:tc>
          <w:tcPr>
            <w:tcW w:w="720" w:type="dxa"/>
            <w:shd w:val="clear" w:color="auto" w:fill="auto"/>
          </w:tcPr>
          <w:p w14:paraId="6BC9E6D0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0.40</w:t>
            </w:r>
          </w:p>
        </w:tc>
      </w:tr>
      <w:tr w:rsidR="00892C28" w:rsidRPr="002C4199" w14:paraId="27AD3CB2" w14:textId="77777777" w:rsidTr="00EA147F">
        <w:tc>
          <w:tcPr>
            <w:tcW w:w="3164" w:type="dxa"/>
            <w:shd w:val="clear" w:color="auto" w:fill="auto"/>
          </w:tcPr>
          <w:p w14:paraId="50A6C013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 w:rsidRPr="002C4199"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Comorbidities: No</w:t>
            </w:r>
          </w:p>
        </w:tc>
        <w:tc>
          <w:tcPr>
            <w:tcW w:w="1530" w:type="dxa"/>
            <w:shd w:val="clear" w:color="auto" w:fill="auto"/>
          </w:tcPr>
          <w:p w14:paraId="28236DB9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470</w:t>
            </w:r>
          </w:p>
        </w:tc>
        <w:tc>
          <w:tcPr>
            <w:tcW w:w="1170" w:type="dxa"/>
            <w:shd w:val="clear" w:color="auto" w:fill="auto"/>
          </w:tcPr>
          <w:p w14:paraId="72351D5B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222</w:t>
            </w:r>
          </w:p>
        </w:tc>
        <w:tc>
          <w:tcPr>
            <w:tcW w:w="720" w:type="dxa"/>
            <w:shd w:val="clear" w:color="auto" w:fill="auto"/>
          </w:tcPr>
          <w:p w14:paraId="7AB43360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0.49</w:t>
            </w:r>
          </w:p>
        </w:tc>
        <w:tc>
          <w:tcPr>
            <w:tcW w:w="810" w:type="dxa"/>
            <w:shd w:val="clear" w:color="auto" w:fill="auto"/>
          </w:tcPr>
          <w:p w14:paraId="6E23EBE0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0.00</w:t>
            </w:r>
          </w:p>
        </w:tc>
        <w:tc>
          <w:tcPr>
            <w:tcW w:w="810" w:type="dxa"/>
            <w:shd w:val="clear" w:color="auto" w:fill="auto"/>
          </w:tcPr>
          <w:p w14:paraId="731CCFE8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1.00</w:t>
            </w:r>
          </w:p>
        </w:tc>
        <w:tc>
          <w:tcPr>
            <w:tcW w:w="720" w:type="dxa"/>
            <w:shd w:val="clear" w:color="auto" w:fill="auto"/>
          </w:tcPr>
          <w:p w14:paraId="3360E7E6" w14:textId="77777777" w:rsidR="00892C28" w:rsidRPr="002C4199" w:rsidRDefault="00892C28" w:rsidP="00EA147F">
            <w:pP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A02B93" w:themeColor="accent5"/>
                <w:sz w:val="18"/>
                <w:szCs w:val="18"/>
              </w:rPr>
              <w:t>0.40</w:t>
            </w:r>
          </w:p>
        </w:tc>
      </w:tr>
    </w:tbl>
    <w:p w14:paraId="3BFE3FD9" w14:textId="77777777" w:rsidR="00892C28" w:rsidRDefault="00892C28" w:rsidP="00892C28">
      <w:pPr>
        <w:rPr>
          <w:rFonts w:eastAsia="Times New Roman" w:cs="Arial"/>
        </w:rPr>
      </w:pPr>
    </w:p>
    <w:p w14:paraId="23E430BD" w14:textId="77777777" w:rsidR="00892C28" w:rsidRDefault="00892C28" w:rsidP="00892C28">
      <w:pPr>
        <w:ind w:left="161" w:hanging="180"/>
        <w:rPr>
          <w:rFonts w:eastAsia="Times New Roman" w:cs="Arial"/>
          <w:color w:val="A02B93" w:themeColor="accent5"/>
        </w:rPr>
      </w:pPr>
    </w:p>
    <w:p w14:paraId="042E9263" w14:textId="77777777" w:rsidR="00892C28" w:rsidRPr="00F86862" w:rsidRDefault="00892C28" w:rsidP="00892C28"/>
    <w:p w14:paraId="3A807A1F" w14:textId="77777777" w:rsidR="00F67514" w:rsidRDefault="00F67514"/>
    <w:sectPr w:rsidR="00F67514" w:rsidSect="00163EC9"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28"/>
    <w:rsid w:val="00065CCA"/>
    <w:rsid w:val="00163EC9"/>
    <w:rsid w:val="002439AF"/>
    <w:rsid w:val="006E10C3"/>
    <w:rsid w:val="00892C28"/>
    <w:rsid w:val="00A206F8"/>
    <w:rsid w:val="00DE3FAB"/>
    <w:rsid w:val="00F6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7F11E"/>
  <w15:chartTrackingRefBased/>
  <w15:docId w15:val="{DA08EEC0-6BA4-414D-8E1D-3C4ACEF4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C28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2C2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C2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2C2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C2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C2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C2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C2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C2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C2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C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92C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92C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C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C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C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C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C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C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2C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92C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2C2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92C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2C28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92C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2C28"/>
    <w:pPr>
      <w:spacing w:after="160" w:line="259" w:lineRule="auto"/>
      <w:ind w:left="720"/>
      <w:contextualSpacing/>
    </w:pPr>
    <w:rPr>
      <w:rFonts w:asciiTheme="minorHAnsi" w:hAnsiTheme="minorHAns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92C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2C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2C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2C2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92C28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of Additional Results for Hepatitis C Virus (HCV):  Sustained Virological Response (SVR)</vt:lpstr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of Additional Results for Hepatitis C Virus (HCV):  Sustained Virological Response (SVR)</dc:title>
  <dc:subject/>
  <dc:creator>American Gastroenterological Association</dc:creator>
  <cp:keywords>Additional Results, Hepatitis C Virus (HCV):  Sustained Virological Response (SVR)</cp:keywords>
  <dc:description/>
  <cp:lastModifiedBy>Wilson, Sara (US)</cp:lastModifiedBy>
  <cp:revision>3</cp:revision>
  <dcterms:created xsi:type="dcterms:W3CDTF">2024-04-25T17:17:00Z</dcterms:created>
  <dcterms:modified xsi:type="dcterms:W3CDTF">2024-07-25T17:23:00Z</dcterms:modified>
</cp:coreProperties>
</file>