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94927" w14:textId="77777777" w:rsidR="00A77B3E" w:rsidRDefault="00000000">
      <w:pPr>
        <w:spacing w:after="240"/>
      </w:pPr>
      <w:r>
        <w:rPr>
          <w:noProof/>
        </w:rPr>
        <w:drawing>
          <wp:inline distT="0" distB="0" distL="0" distR="0" wp14:anchorId="23A841B2" wp14:editId="08ED1246">
            <wp:extent cx="2448084" cy="774176"/>
            <wp:effectExtent l="0" t="0" r="0" b="0"/>
            <wp:docPr id="100001" name="Picture 100001" descr="National Quality Forum Logo with the tagline Driving measurable health improvements toge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7"/>
                    <a:stretch>
                      <a:fillRect/>
                    </a:stretch>
                  </pic:blipFill>
                  <pic:spPr>
                    <a:xfrm>
                      <a:off x="0" y="0"/>
                      <a:ext cx="2448084" cy="774176"/>
                    </a:xfrm>
                    <a:prstGeom prst="rect">
                      <a:avLst/>
                    </a:prstGeom>
                  </pic:spPr>
                </pic:pic>
              </a:graphicData>
            </a:graphic>
          </wp:inline>
        </w:drawing>
      </w:r>
    </w:p>
    <w:p w14:paraId="05982315" w14:textId="77777777" w:rsidR="00A77B3E" w:rsidRDefault="00A77B3E">
      <w:pPr>
        <w:spacing w:after="240"/>
      </w:pPr>
    </w:p>
    <w:p w14:paraId="388692CE" w14:textId="77777777" w:rsidR="00A77B3E" w:rsidRDefault="00A77B3E">
      <w:pPr>
        <w:spacing w:after="240"/>
      </w:pPr>
    </w:p>
    <w:p w14:paraId="1DBAA8D4"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326295"/>
          <w:sz w:val="40"/>
        </w:rPr>
        <w:t>Form Information</w:t>
      </w:r>
      <w:r>
        <w:pict w14:anchorId="09E2BB49">
          <v:rect id="_x0000_i1025" style="width:468pt;height:1pt" o:hralign="center" o:hrstd="t" o:hrnoshade="t" o:hr="t" fillcolor="#326295" stroked="f">
            <v:path strokeok="f"/>
          </v:rect>
        </w:pict>
      </w:r>
    </w:p>
    <w:p w14:paraId="1CEB8524" w14:textId="77777777" w:rsidR="00A77B3E" w:rsidRDefault="00A77B3E">
      <w:pPr>
        <w:pStyle w:val="Heading1"/>
        <w:spacing w:before="0" w:after="240"/>
        <w:rPr>
          <w:rFonts w:ascii="Calibri" w:eastAsia="Calibri" w:hAnsi="Calibri" w:cs="Calibri"/>
          <w:b w:val="0"/>
          <w:color w:val="326295"/>
          <w:sz w:val="2"/>
        </w:rPr>
      </w:pPr>
    </w:p>
    <w:p w14:paraId="125F6B6E" w14:textId="77777777" w:rsidR="00A77B3E" w:rsidRDefault="00000000">
      <w:pPr>
        <w:spacing w:after="240"/>
        <w:rPr>
          <w:rFonts w:ascii="Calibri" w:eastAsia="Calibri" w:hAnsi="Calibri" w:cs="Calibri"/>
          <w:color w:val="000000"/>
          <w:sz w:val="22"/>
        </w:rPr>
      </w:pPr>
      <w:r>
        <w:rPr>
          <w:rFonts w:ascii="Calibri" w:eastAsia="Calibri" w:hAnsi="Calibri" w:cs="Calibri"/>
          <w:b/>
          <w:color w:val="000000"/>
          <w:sz w:val="22"/>
        </w:rPr>
        <w:t xml:space="preserve">Form Name: </w:t>
      </w:r>
      <w:r>
        <w:rPr>
          <w:rFonts w:ascii="Calibri" w:eastAsia="Calibri" w:hAnsi="Calibri" w:cs="Calibri"/>
          <w:color w:val="000000"/>
          <w:sz w:val="22"/>
        </w:rPr>
        <w:t>Quality Measure Submission Form</w:t>
      </w:r>
    </w:p>
    <w:p w14:paraId="71A91B06" w14:textId="77777777" w:rsidR="00A77B3E" w:rsidRDefault="00000000">
      <w:pPr>
        <w:spacing w:after="240"/>
        <w:rPr>
          <w:rFonts w:ascii="Calibri" w:eastAsia="Calibri" w:hAnsi="Calibri" w:cs="Calibri"/>
          <w:color w:val="000000"/>
          <w:sz w:val="22"/>
        </w:rPr>
      </w:pPr>
      <w:r>
        <w:rPr>
          <w:rFonts w:ascii="Calibri" w:eastAsia="Calibri" w:hAnsi="Calibri" w:cs="Calibri"/>
          <w:b/>
          <w:color w:val="000000"/>
          <w:sz w:val="22"/>
        </w:rPr>
        <w:t xml:space="preserve">Form Version: </w:t>
      </w:r>
      <w:r>
        <w:rPr>
          <w:rFonts w:ascii="Calibri" w:eastAsia="Calibri" w:hAnsi="Calibri" w:cs="Calibri"/>
          <w:color w:val="000000"/>
          <w:sz w:val="22"/>
        </w:rPr>
        <w:t>54.0</w:t>
      </w:r>
    </w:p>
    <w:p w14:paraId="7F7E9AA1" w14:textId="77777777" w:rsidR="00A77B3E" w:rsidRDefault="00000000">
      <w:pPr>
        <w:spacing w:after="240"/>
        <w:rPr>
          <w:rFonts w:ascii="Calibri" w:eastAsia="Calibri" w:hAnsi="Calibri" w:cs="Calibri"/>
          <w:color w:val="000000"/>
          <w:sz w:val="22"/>
        </w:rPr>
      </w:pPr>
      <w:r>
        <w:rPr>
          <w:rFonts w:ascii="Calibri" w:eastAsia="Calibri" w:hAnsi="Calibri" w:cs="Calibri"/>
          <w:b/>
          <w:color w:val="000000"/>
          <w:sz w:val="22"/>
        </w:rPr>
        <w:t xml:space="preserve">Display Version: </w:t>
      </w:r>
      <w:r>
        <w:rPr>
          <w:rFonts w:ascii="Calibri" w:eastAsia="Calibri" w:hAnsi="Calibri" w:cs="Calibri"/>
          <w:color w:val="000000"/>
          <w:sz w:val="22"/>
        </w:rPr>
        <w:t>Quality Measure Form: 9.0</w:t>
      </w:r>
    </w:p>
    <w:p w14:paraId="36FF1098" w14:textId="77777777" w:rsidR="00A77B3E" w:rsidRDefault="00000000">
      <w:pPr>
        <w:spacing w:after="240"/>
        <w:rPr>
          <w:rFonts w:ascii="Calibri" w:eastAsia="Calibri" w:hAnsi="Calibri" w:cs="Calibri"/>
          <w:color w:val="000000"/>
          <w:sz w:val="22"/>
        </w:rPr>
      </w:pPr>
      <w:r>
        <w:rPr>
          <w:rFonts w:ascii="Calibri" w:eastAsia="Calibri" w:hAnsi="Calibri" w:cs="Calibri"/>
          <w:b/>
          <w:color w:val="000000"/>
          <w:sz w:val="22"/>
        </w:rPr>
        <w:t xml:space="preserve">Date Generated: </w:t>
      </w:r>
      <w:r>
        <w:rPr>
          <w:rFonts w:ascii="Calibri" w:eastAsia="Calibri" w:hAnsi="Calibri" w:cs="Calibri"/>
          <w:color w:val="000000"/>
          <w:sz w:val="22"/>
        </w:rPr>
        <w:t>10/27/2022</w:t>
      </w:r>
    </w:p>
    <w:p w14:paraId="722C65A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Submission Type</w:t>
      </w:r>
    </w:p>
    <w:p w14:paraId="2C4531C8" w14:textId="77777777" w:rsidR="00A77B3E" w:rsidRDefault="00000000">
      <w:pPr>
        <w:pStyle w:val="BodyText"/>
        <w:spacing w:after="240"/>
        <w:rPr>
          <w:rFonts w:ascii="Calibri" w:eastAsia="Calibri" w:hAnsi="Calibri" w:cs="Calibri"/>
          <w:color w:val="000000"/>
          <w:sz w:val="22"/>
        </w:rPr>
      </w:pPr>
      <w:r>
        <w:rPr>
          <w:rFonts w:ascii="Calibri" w:eastAsia="Calibri" w:hAnsi="Calibri" w:cs="Calibri"/>
          <w:color w:val="000000"/>
          <w:sz w:val="22"/>
        </w:rPr>
        <w:t xml:space="preserve"> • Single Measure  • Outcome • Not Instrument Based • Full Endorsement • Not eCQM</w:t>
      </w:r>
    </w:p>
    <w:p w14:paraId="7593856B"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Introduction</w:t>
      </w:r>
      <w:r>
        <w:pict w14:anchorId="5A37874E">
          <v:rect id="_x0000_i1026" style="width:468pt;height:1pt" o:hralign="center" o:hrstd="t" o:hrnoshade="t" o:hr="t" fillcolor="#326295" stroked="f">
            <v:path strokeok="f"/>
          </v:rect>
        </w:pict>
      </w:r>
    </w:p>
    <w:p w14:paraId="377249D1" w14:textId="77777777" w:rsidR="00A77B3E" w:rsidRDefault="00A77B3E">
      <w:pPr>
        <w:pStyle w:val="Heading1"/>
        <w:spacing w:before="0" w:after="240"/>
        <w:rPr>
          <w:rFonts w:ascii="Calibri" w:eastAsia="Calibri" w:hAnsi="Calibri" w:cs="Calibri"/>
          <w:b w:val="0"/>
          <w:color w:val="326295"/>
          <w:sz w:val="2"/>
        </w:rPr>
      </w:pPr>
    </w:p>
    <w:p w14:paraId="368698C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Thank you for your interest in submitting a measure to NQF for possible endorsement.</w:t>
      </w:r>
    </w:p>
    <w:p w14:paraId="64A04A42"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What criteria are used to evaluate measures?</w:t>
      </w:r>
      <w:r>
        <w:rPr>
          <w:rFonts w:ascii="Calibri" w:eastAsia="Calibri" w:hAnsi="Calibri" w:cs="Calibri"/>
          <w:color w:val="000000"/>
          <w:sz w:val="22"/>
        </w:rPr>
        <w:t xml:space="preserve"> Measures are evaluated on standardized criteria: importance to measure and report, scientific acceptability of measure properties, feasibility, usability and use, and related and competing measures. For your measure to be evaluated against these measure evaluation criteria, you must complete the measure submission form.</w:t>
      </w:r>
    </w:p>
    <w:p w14:paraId="744DADC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 xml:space="preserve">Why do I have to complete a form? </w:t>
      </w:r>
      <w:r>
        <w:rPr>
          <w:rFonts w:ascii="Calibri" w:eastAsia="Calibri" w:hAnsi="Calibri" w:cs="Calibri"/>
          <w:color w:val="000000"/>
          <w:sz w:val="22"/>
        </w:rPr>
        <w:t>Due to the volume and/or complexity of proposed measures, NQF provides measure information to committee reviewers in a standardized format to facilitate their evaluation of whether the measure meets NQF's measure evaluation criteria. This form allows the measure steward to present information demonstrating that the proposed measure meets NQF's criteria.</w:t>
      </w:r>
    </w:p>
    <w:p w14:paraId="630F8E8B"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What is on the form?</w:t>
      </w:r>
      <w:r>
        <w:rPr>
          <w:rFonts w:ascii="Calibri" w:eastAsia="Calibri" w:hAnsi="Calibri" w:cs="Calibri"/>
          <w:color w:val="000000"/>
          <w:sz w:val="22"/>
        </w:rPr>
        <w:t xml:space="preserve"> The information requested in this form is directly related to NQF's measure evaluation criteria.</w:t>
      </w:r>
    </w:p>
    <w:p w14:paraId="66DC44A2"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 xml:space="preserve">Can't I just submit our files for consideration? </w:t>
      </w:r>
      <w:r>
        <w:rPr>
          <w:rFonts w:ascii="Calibri" w:eastAsia="Calibri" w:hAnsi="Calibri" w:cs="Calibri"/>
          <w:color w:val="000000"/>
          <w:sz w:val="22"/>
        </w:rPr>
        <w:t>No. Measures must be submitted through the online form to be considered. Requested information should be entered directly into this form and as well as any necessary or required attachments.</w:t>
      </w:r>
    </w:p>
    <w:p w14:paraId="2B41E866"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Can I submit additional details and materials?</w:t>
      </w:r>
      <w:r>
        <w:rPr>
          <w:rFonts w:ascii="Calibri" w:eastAsia="Calibri" w:hAnsi="Calibri" w:cs="Calibri"/>
          <w:color w:val="000000"/>
          <w:sz w:val="22"/>
        </w:rPr>
        <w:t xml:space="preserve"> Additional materials will be considered only as supplemental. Do NOT rely on material provided in an appendix to provide measure specifications or to demonstrate meeting the criteria. The core information needed to evaluate the measure should be provided in the appropriate submission form fields and required attachments. Please contact the designated project staff regarding questions about submitting supplemental materials.</w:t>
      </w:r>
    </w:p>
    <w:p w14:paraId="1A7D59F6"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What do I do first?</w:t>
      </w:r>
      <w:r>
        <w:rPr>
          <w:rFonts w:ascii="Calibri" w:eastAsia="Calibri" w:hAnsi="Calibri" w:cs="Calibri"/>
          <w:color w:val="000000"/>
          <w:sz w:val="22"/>
        </w:rPr>
        <w:t xml:space="preserve"> If you have started a new submission by answering five qualifying questions, you may proceed to the “Previous Submission Information" tab to continue with your submission. The “Conditions” tab will list the conditions that must be met before your proposed measures may be considered and evaluated for suitability as NQF‐endorsed voluntary consensus standards. You are asked to acknowledge reading and accepting the conditions.</w:t>
      </w:r>
    </w:p>
    <w:p w14:paraId="55F10217"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Can I come back later to complete a submission once I have started?</w:t>
      </w:r>
      <w:r>
        <w:rPr>
          <w:rFonts w:ascii="Calibri" w:eastAsia="Calibri" w:hAnsi="Calibri" w:cs="Calibri"/>
          <w:color w:val="000000"/>
          <w:sz w:val="22"/>
        </w:rPr>
        <w:t xml:space="preserve"> Yes. You can return to your submission at your convenience to complete the form until the designated deadline. To save and return, simply click on the save‐draft option anytime during the submission process. When you want to continue, please login to the National Quality Forum website, go to your Dashboard, and click on your submission.</w:t>
      </w:r>
    </w:p>
    <w:p w14:paraId="19EA106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Can I make changes to a form once I have submitted it?</w:t>
      </w:r>
      <w:r>
        <w:rPr>
          <w:rFonts w:ascii="Calibri" w:eastAsia="Calibri" w:hAnsi="Calibri" w:cs="Calibri"/>
          <w:color w:val="000000"/>
          <w:sz w:val="22"/>
        </w:rPr>
        <w:t xml:space="preserve"> No. Once you submit your measure, you will NOT be able to return to this submission form to make further revisions. You will need to contact project staff.</w:t>
      </w:r>
    </w:p>
    <w:p w14:paraId="43836C3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What if I need additional help?</w:t>
      </w:r>
      <w:r>
        <w:rPr>
          <w:rFonts w:ascii="Calibri" w:eastAsia="Calibri" w:hAnsi="Calibri" w:cs="Calibri"/>
          <w:color w:val="000000"/>
          <w:sz w:val="22"/>
        </w:rPr>
        <w:t xml:space="preserve"> Please contact the project staff identified in the call for measures if you have questions regarding the information requested or submitting supplemental materials.</w:t>
      </w:r>
    </w:p>
    <w:p w14:paraId="23DC954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lastRenderedPageBreak/>
        <w:t xml:space="preserve">NOTE: All measure submissions should be 508-compliant. Refer to the </w:t>
      </w:r>
      <w:hyperlink r:id="rId8" w:tgtFrame="_blank" w:history="1">
        <w:r>
          <w:rPr>
            <w:rFonts w:ascii="Calibri" w:eastAsia="Calibri" w:hAnsi="Calibri" w:cs="Calibri"/>
            <w:b/>
            <w:bCs/>
            <w:color w:val="0000FF"/>
            <w:sz w:val="22"/>
            <w:u w:val="single" w:color="0000FF"/>
          </w:rPr>
          <w:t>Checklist for Developer 508 Guidelines</w:t>
        </w:r>
      </w:hyperlink>
      <w:r>
        <w:rPr>
          <w:rFonts w:ascii="Calibri" w:eastAsia="Calibri" w:hAnsi="Calibri" w:cs="Calibri"/>
          <w:b/>
          <w:bCs/>
          <w:color w:val="000000"/>
          <w:sz w:val="22"/>
        </w:rPr>
        <w:t xml:space="preserve"> (PDF) to ensure all guidelines apply to all parts of your submission, including all fields and attachments used within the MIMS measure submission form.</w:t>
      </w:r>
    </w:p>
    <w:p w14:paraId="6057062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Please email us at </w:t>
      </w:r>
      <w:hyperlink r:id="rId9" w:tgtFrame="_blank" w:history="1">
        <w:r>
          <w:rPr>
            <w:rFonts w:ascii="Calibri" w:eastAsia="Calibri" w:hAnsi="Calibri" w:cs="Calibri"/>
            <w:color w:val="0000FF"/>
            <w:sz w:val="22"/>
            <w:u w:val="single" w:color="0000FF"/>
          </w:rPr>
          <w:t>measuremaintenance@qualityforum.org</w:t>
        </w:r>
      </w:hyperlink>
      <w:r>
        <w:rPr>
          <w:rFonts w:ascii="Calibri" w:eastAsia="Calibri" w:hAnsi="Calibri" w:cs="Calibri"/>
          <w:color w:val="000000"/>
          <w:sz w:val="22"/>
        </w:rPr>
        <w:t xml:space="preserve"> if you experience technical difficulties using the online submission form.</w:t>
      </w:r>
    </w:p>
    <w:p w14:paraId="0593E5B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Thank you for your interest in submitting measures to NQF.</w:t>
      </w:r>
    </w:p>
    <w:p w14:paraId="15DFF493" w14:textId="77777777" w:rsidR="00A77B3E" w:rsidRDefault="00A77B3E">
      <w:pPr>
        <w:spacing w:after="240"/>
        <w:rPr>
          <w:rFonts w:ascii="Calibri" w:eastAsia="Calibri" w:hAnsi="Calibri" w:cs="Calibri"/>
          <w:color w:val="000000"/>
          <w:sz w:val="22"/>
        </w:rPr>
      </w:pPr>
    </w:p>
    <w:p w14:paraId="4BB65822"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Previous Submission Information (1 - 4)</w:t>
      </w:r>
      <w:r>
        <w:pict w14:anchorId="1F4EA67C">
          <v:rect id="_x0000_i1027" style="width:468pt;height:1pt" o:hralign="center" o:hrstd="t" o:hrnoshade="t" o:hr="t" fillcolor="#326295" stroked="f">
            <v:path strokeok="f"/>
          </v:rect>
        </w:pict>
      </w:r>
    </w:p>
    <w:p w14:paraId="2D5FFB0D" w14:textId="77777777" w:rsidR="00A77B3E" w:rsidRDefault="00A77B3E">
      <w:pPr>
        <w:pStyle w:val="Heading1"/>
        <w:spacing w:before="0" w:after="240"/>
        <w:rPr>
          <w:rFonts w:ascii="Calibri" w:eastAsia="Calibri" w:hAnsi="Calibri" w:cs="Calibri"/>
          <w:b w:val="0"/>
          <w:color w:val="326295"/>
          <w:sz w:val="2"/>
        </w:rPr>
      </w:pPr>
    </w:p>
    <w:p w14:paraId="562EEE60"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 Select whether this measure was previously submitted to NQF and given an NQF#.</w:t>
      </w:r>
    </w:p>
    <w:p w14:paraId="617BABB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755B326" wp14:editId="1DC672F4">
            <wp:extent cx="126984" cy="126984"/>
            <wp:effectExtent l="0" t="0" r="0" b="0"/>
            <wp:docPr id="100006" name="Picture 100006" descr="Previously submitted to NQ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Previously submitted to NQF  </w:t>
      </w:r>
    </w:p>
    <w:p w14:paraId="6078942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134AC51" wp14:editId="3CC389AD">
            <wp:extent cx="126984" cy="126984"/>
            <wp:effectExtent l="0" t="0" r="0" b="0"/>
            <wp:docPr id="100008" name="Picture 100008" descr="New measure, never submit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New measure, never submitted.  </w:t>
      </w:r>
    </w:p>
    <w:p w14:paraId="0CD981BB" w14:textId="77777777" w:rsidR="00A77B3E" w:rsidRDefault="00A77B3E">
      <w:pPr>
        <w:spacing w:after="240"/>
        <w:rPr>
          <w:rFonts w:ascii="Calibri" w:eastAsia="Calibri" w:hAnsi="Calibri" w:cs="Calibri"/>
          <w:color w:val="000000"/>
          <w:sz w:val="22"/>
        </w:rPr>
      </w:pPr>
    </w:p>
    <w:p w14:paraId="0F528E52"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 Provide the NQF number of the previously submitted measure.</w:t>
      </w:r>
    </w:p>
    <w:p w14:paraId="6D2A99C8" w14:textId="77777777" w:rsidR="00A77B3E" w:rsidRDefault="00A77B3E">
      <w:pPr>
        <w:spacing w:after="240"/>
        <w:rPr>
          <w:rFonts w:ascii="Calibri" w:eastAsia="Calibri" w:hAnsi="Calibri" w:cs="Calibri"/>
          <w:color w:val="000000"/>
          <w:sz w:val="22"/>
        </w:rPr>
      </w:pPr>
    </w:p>
    <w:p w14:paraId="165A7E20"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3) If the measure has an eCQM version, provide the NQF# of the previously submitted measure.</w:t>
      </w:r>
    </w:p>
    <w:p w14:paraId="28A55DD4" w14:textId="77777777" w:rsidR="00A77B3E" w:rsidRDefault="00A77B3E">
      <w:pPr>
        <w:spacing w:after="240"/>
        <w:rPr>
          <w:rFonts w:ascii="Calibri" w:eastAsia="Calibri" w:hAnsi="Calibri" w:cs="Calibri"/>
          <w:color w:val="000000"/>
          <w:sz w:val="22"/>
        </w:rPr>
      </w:pPr>
    </w:p>
    <w:p w14:paraId="6B0D5D70"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NQF Conditions (1 - 2)</w:t>
      </w:r>
      <w:r>
        <w:pict w14:anchorId="34857B0E">
          <v:rect id="_x0000_i1028" style="width:468pt;height:1pt" o:hralign="center" o:hrstd="t" o:hrnoshade="t" o:hr="t" fillcolor="#326295" stroked="f">
            <v:path strokeok="f"/>
          </v:rect>
        </w:pict>
      </w:r>
    </w:p>
    <w:p w14:paraId="7AC68034" w14:textId="77777777" w:rsidR="00A77B3E" w:rsidRDefault="00A77B3E">
      <w:pPr>
        <w:pStyle w:val="Heading1"/>
        <w:spacing w:before="0" w:after="240"/>
        <w:rPr>
          <w:rFonts w:ascii="Calibri" w:eastAsia="Calibri" w:hAnsi="Calibri" w:cs="Calibri"/>
          <w:b w:val="0"/>
          <w:color w:val="326295"/>
          <w:sz w:val="2"/>
        </w:rPr>
      </w:pPr>
    </w:p>
    <w:p w14:paraId="2C314819"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Several conditions must be met before proposed measures may be considered and evaluated for suitability as voluntary consensus standards. If any of the conditions are not met, the measure will not be accepted for consideration. </w:t>
      </w:r>
    </w:p>
    <w:p w14:paraId="79A7AEA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A. </w:t>
      </w:r>
      <w:hyperlink r:id="rId12" w:tgtFrame="_blank" w:history="1">
        <w:r>
          <w:rPr>
            <w:rFonts w:ascii="Calibri" w:eastAsia="Calibri" w:hAnsi="Calibri" w:cs="Calibri"/>
            <w:color w:val="333333"/>
            <w:sz w:val="22"/>
            <w:u w:val="single" w:color="0000FF"/>
          </w:rPr>
          <w:t>A Measure Steward Agreement</w:t>
        </w:r>
      </w:hyperlink>
      <w:r>
        <w:rPr>
          <w:rFonts w:ascii="Calibri" w:eastAsia="Calibri" w:hAnsi="Calibri" w:cs="Calibri"/>
          <w:color w:val="333333"/>
          <w:sz w:val="22"/>
        </w:rPr>
        <w:t xml:space="preserve"> is signed or the steward is a government organization. (All non-government organizations must sign a </w:t>
      </w:r>
      <w:hyperlink r:id="rId13" w:tgtFrame="_blank" w:history="1">
        <w:r>
          <w:rPr>
            <w:rFonts w:ascii="Calibri" w:eastAsia="Calibri" w:hAnsi="Calibri" w:cs="Calibri"/>
            <w:color w:val="333333"/>
            <w:sz w:val="22"/>
            <w:u w:val="single" w:color="0000FF"/>
          </w:rPr>
          <w:t>Measure Steward Agreement</w:t>
        </w:r>
      </w:hyperlink>
      <w:r>
        <w:rPr>
          <w:rFonts w:ascii="Calibri" w:eastAsia="Calibri" w:hAnsi="Calibri" w:cs="Calibri"/>
          <w:color w:val="333333"/>
          <w:sz w:val="22"/>
        </w:rPr>
        <w:t>.)</w:t>
      </w:r>
    </w:p>
    <w:p w14:paraId="30E38EF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 The measure owner/steward verifies there is an identified responsible entity and a process to maintain and update the measure on a schedule that is commensurate with the rate of clinical innovation, but at least every three years.</w:t>
      </w:r>
    </w:p>
    <w:p w14:paraId="24F0550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 The intended use of the measure includes both accountability applications (including public reporting) and performance improvement to achieve high-quality, efficient healthcare.</w:t>
      </w:r>
    </w:p>
    <w:p w14:paraId="32F9AE7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 The measure is fully specified and tested for reliability and validity.</w:t>
      </w:r>
    </w:p>
    <w:p w14:paraId="2FA7511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E. The measure developer/steward attests that harmonization with related measures and issues with competing measures have been considered and addressed, as appropriate.</w:t>
      </w:r>
    </w:p>
    <w:p w14:paraId="40DFBAB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F. The requested measure submission information is complete and responsive to the questions so that all the information needed to evaluate all criteria is provided.</w:t>
      </w:r>
    </w:p>
    <w:p w14:paraId="620B2857" w14:textId="77777777" w:rsidR="00A77B3E" w:rsidRDefault="00A77B3E">
      <w:pPr>
        <w:spacing w:after="240"/>
        <w:rPr>
          <w:rFonts w:ascii="Calibri" w:eastAsia="Calibri" w:hAnsi="Calibri" w:cs="Calibri"/>
          <w:color w:val="000000"/>
          <w:sz w:val="22"/>
        </w:rPr>
      </w:pPr>
    </w:p>
    <w:p w14:paraId="61178957"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 xml:space="preserve">1) Check if either of the following apply (as defined in the </w:t>
      </w:r>
      <w:hyperlink r:id="rId14" w:history="1">
        <w:r>
          <w:rPr>
            <w:rFonts w:ascii="Calibri" w:eastAsia="Calibri" w:hAnsi="Calibri" w:cs="Calibri"/>
            <w:b/>
            <w:color w:val="0000FF"/>
            <w:sz w:val="22"/>
            <w:u w:val="single" w:color="0000FF"/>
          </w:rPr>
          <w:t>Measure Steward Agreement</w:t>
        </w:r>
      </w:hyperlink>
      <w:r>
        <w:rPr>
          <w:rFonts w:ascii="Calibri" w:eastAsia="Calibri" w:hAnsi="Calibri" w:cs="Calibri"/>
          <w:b/>
          <w:color w:val="000000"/>
          <w:sz w:val="22"/>
        </w:rPr>
        <w:t>).</w:t>
      </w:r>
    </w:p>
    <w:p w14:paraId="5EFCB27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FCE8D51" wp14:editId="32105656">
            <wp:extent cx="126984" cy="126984"/>
            <wp:effectExtent l="0" t="0" r="0" b="0"/>
            <wp:docPr id="100011" name="Picture 100011" descr="Proprietary measure or components (e.g., risk model,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Proprietary measure or components (e.g., risk model, codes)  </w:t>
      </w:r>
    </w:p>
    <w:p w14:paraId="1F581DC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7CCE919" wp14:editId="4B174557">
            <wp:extent cx="126984" cy="126984"/>
            <wp:effectExtent l="0" t="0" r="0" b="0"/>
            <wp:docPr id="100013" name="Picture 100013" descr="Proprietary measure or components with f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Proprietary measure or components with fees  </w:t>
      </w:r>
    </w:p>
    <w:p w14:paraId="127A65B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6CBEB9A" wp14:editId="681A5A58">
            <wp:extent cx="126984" cy="126984"/>
            <wp:effectExtent l="0" t="0" r="0" b="0"/>
            <wp:docPr id="100015" name="Picture 100015" descr="None of the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None of the above  </w:t>
      </w:r>
    </w:p>
    <w:p w14:paraId="7C9D90FE" w14:textId="77777777" w:rsidR="00A77B3E" w:rsidRDefault="00A77B3E">
      <w:pPr>
        <w:spacing w:after="240"/>
        <w:rPr>
          <w:rFonts w:ascii="Calibri" w:eastAsia="Calibri" w:hAnsi="Calibri" w:cs="Calibri"/>
          <w:color w:val="000000"/>
          <w:sz w:val="22"/>
        </w:rPr>
      </w:pPr>
    </w:p>
    <w:p w14:paraId="43D06D37"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 Check the box below to agree to the conditions listed above.</w:t>
      </w:r>
    </w:p>
    <w:p w14:paraId="2DFAA41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608D548" wp14:editId="2BEB19E7">
            <wp:extent cx="126984" cy="126984"/>
            <wp:effectExtent l="0" t="0" r="0" b="0"/>
            <wp:docPr id="100017" name="Picture 100017" descr="I have read and accept the conditions as specified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 have read and accept the conditions as specified above  </w:t>
      </w:r>
    </w:p>
    <w:p w14:paraId="03758FF3" w14:textId="77777777" w:rsidR="00A77B3E" w:rsidRDefault="00A77B3E">
      <w:pPr>
        <w:spacing w:after="240"/>
        <w:rPr>
          <w:rFonts w:ascii="Calibri" w:eastAsia="Calibri" w:hAnsi="Calibri" w:cs="Calibri"/>
          <w:color w:val="000000"/>
          <w:sz w:val="22"/>
        </w:rPr>
      </w:pPr>
    </w:p>
    <w:p w14:paraId="50201A58"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Measure Specifications (sp.01 - sp.32)</w:t>
      </w:r>
      <w:r>
        <w:pict w14:anchorId="754D7839">
          <v:rect id="_x0000_i1029" style="width:468pt;height:1pt" o:hralign="center" o:hrstd="t" o:hrnoshade="t" o:hr="t" fillcolor="#326295" stroked="f">
            <v:path strokeok="f"/>
          </v:rect>
        </w:pict>
      </w:r>
    </w:p>
    <w:p w14:paraId="7A9F7D3A" w14:textId="77777777" w:rsidR="00A77B3E" w:rsidRDefault="00A77B3E">
      <w:pPr>
        <w:pStyle w:val="Heading1"/>
        <w:spacing w:before="0" w:after="240"/>
        <w:rPr>
          <w:rFonts w:ascii="Calibri" w:eastAsia="Calibri" w:hAnsi="Calibri" w:cs="Calibri"/>
          <w:b w:val="0"/>
          <w:color w:val="326295"/>
          <w:sz w:val="2"/>
        </w:rPr>
      </w:pPr>
    </w:p>
    <w:p w14:paraId="5394236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sp.01) Provide the measure title.</w:t>
      </w:r>
    </w:p>
    <w:p w14:paraId="751F7165"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t xml:space="preserve">Measure titles should be concise yet convey who and what is being measured (see </w:t>
      </w:r>
      <w:hyperlink r:id="rId16" w:history="1">
        <w:r>
          <w:rPr>
            <w:rFonts w:ascii="Calibri" w:eastAsia="Calibri" w:hAnsi="Calibri" w:cs="Calibri"/>
            <w:i/>
            <w:color w:val="0000FF"/>
            <w:sz w:val="22"/>
            <w:u w:val="single" w:color="0000FF"/>
          </w:rPr>
          <w:t>What Good Looks Like</w:t>
        </w:r>
      </w:hyperlink>
      <w:r>
        <w:rPr>
          <w:rFonts w:ascii="Calibri" w:eastAsia="Calibri" w:hAnsi="Calibri" w:cs="Calibri"/>
          <w:i/>
          <w:color w:val="000000"/>
          <w:sz w:val="22"/>
        </w:rPr>
        <w:t>).</w:t>
      </w:r>
      <w:r>
        <w:rPr>
          <w:rFonts w:ascii="Calibri" w:eastAsia="Calibri" w:hAnsi="Calibri" w:cs="Calibri"/>
          <w:color w:val="000000"/>
          <w:sz w:val="22"/>
        </w:rPr>
        <w:t>Prevalent Standardized Waitlist Ratio (PSWR)</w:t>
      </w:r>
    </w:p>
    <w:p w14:paraId="524E325E" w14:textId="77777777" w:rsidR="00A77B3E" w:rsidRDefault="00A77B3E">
      <w:pPr>
        <w:spacing w:after="240"/>
        <w:rPr>
          <w:rFonts w:ascii="Calibri" w:eastAsia="Calibri" w:hAnsi="Calibri" w:cs="Calibri"/>
          <w:color w:val="000000"/>
          <w:sz w:val="22"/>
        </w:rPr>
      </w:pPr>
    </w:p>
    <w:p w14:paraId="1CEF1199"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sp.02) Provide a brief description of the measure.</w:t>
      </w:r>
    </w:p>
    <w:p w14:paraId="1A82DF12"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Including type of score, measure focus, target population, timeframe, (e.g., Percentage of adult patients aged 18-75 years receiving one or more HbA1c tests per year).</w:t>
      </w:r>
      <w:r>
        <w:rPr>
          <w:rFonts w:ascii="Calibri" w:eastAsia="Calibri" w:hAnsi="Calibri" w:cs="Calibri"/>
          <w:color w:val="000000"/>
          <w:sz w:val="22"/>
        </w:rPr>
        <w:t>The PSWR measure tracks the number of prevalent dialysis patients in a practitioner (inclusive of physicians and advanced practice providers) group who are under the age of 75 and were listed on the kidney or kidney-pancreas transplant waitlist or received a living donor transplant. For each practitioner group, the Prevalent Standardized Waitlist Ratio (PSWR) is calculated to compare the observed number of waitlist events in a practitioner group to its expected number of waitlist events. The PSWR uses the expected waitlist events calculated from a Cox model, adjusted for patient age, incident and prevalent comorbidities, previous waitlisting and transplant, dual eligibility, Area Deprivation Index (ADI), and transplant center characteristics.</w:t>
      </w:r>
    </w:p>
    <w:p w14:paraId="29B469C4" w14:textId="77777777" w:rsidR="00A77B3E" w:rsidRDefault="00A77B3E">
      <w:pPr>
        <w:spacing w:after="240"/>
        <w:rPr>
          <w:rFonts w:ascii="Calibri" w:eastAsia="Calibri" w:hAnsi="Calibri" w:cs="Calibri"/>
          <w:color w:val="000000"/>
          <w:sz w:val="22"/>
        </w:rPr>
      </w:pPr>
    </w:p>
    <w:p w14:paraId="094A4ED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sp.04) Check all the clinical condition/topic areas that apply to your measure, below.</w:t>
      </w:r>
    </w:p>
    <w:p w14:paraId="02BF17ED"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Please refrain from selecting the following answer option(s). We are in the process of phasing out these answer options and request that you instead select one of the other answer options as they apply to your measure.</w:t>
      </w:r>
    </w:p>
    <w:p w14:paraId="78058AB4"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Please do not select:</w:t>
      </w:r>
    </w:p>
    <w:p w14:paraId="07A710A9" w14:textId="77777777" w:rsidR="00A77B3E" w:rsidRDefault="00000000">
      <w:pPr>
        <w:numPr>
          <w:ilvl w:val="0"/>
          <w:numId w:val="1"/>
        </w:numPr>
        <w:spacing w:after="240"/>
        <w:rPr>
          <w:rFonts w:ascii="Calibri" w:eastAsia="Calibri" w:hAnsi="Calibri" w:cs="Calibri"/>
          <w:i/>
          <w:color w:val="000000"/>
          <w:sz w:val="22"/>
        </w:rPr>
      </w:pPr>
      <w:r>
        <w:rPr>
          <w:rFonts w:ascii="Calibri" w:eastAsia="Calibri" w:hAnsi="Calibri" w:cs="Calibri"/>
          <w:i/>
          <w:color w:val="000000"/>
          <w:sz w:val="22"/>
        </w:rPr>
        <w:t>Surgery: General</w:t>
      </w:r>
    </w:p>
    <w:p w14:paraId="2F36D1C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80A2396" wp14:editId="7803F526">
            <wp:extent cx="126984" cy="126984"/>
            <wp:effectExtent l="0" t="0" r="0" b="0"/>
            <wp:docPr id="100020" name="Picture 100020" descr="Behavioral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w:t>
      </w:r>
    </w:p>
    <w:p w14:paraId="651A837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AE0B3D5" wp14:editId="295FC421">
            <wp:extent cx="126984" cy="126984"/>
            <wp:effectExtent l="0" t="0" r="0" b="0"/>
            <wp:docPr id="100022" name="Picture 100022" descr="Behavioral Health: Alcohol, Substance Use/Ab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Alcohol, Substance Use/Abuse  </w:t>
      </w:r>
    </w:p>
    <w:p w14:paraId="4532C46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9F3DFFB" wp14:editId="7BE490A6">
            <wp:extent cx="126984" cy="126984"/>
            <wp:effectExtent l="0" t="0" r="0" b="0"/>
            <wp:docPr id="100024" name="Picture 100024" descr="Behavioral Health: Anxi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Anxiety  </w:t>
      </w:r>
    </w:p>
    <w:p w14:paraId="47A5582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A8E22CC" wp14:editId="09D9B492">
            <wp:extent cx="126984" cy="126984"/>
            <wp:effectExtent l="0" t="0" r="0" b="0"/>
            <wp:docPr id="100026" name="Picture 100026" descr="Behavioral Health: Attention Deficit Hyperactivity Disorder (AD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Attention Deficit Hyperactivity Disorder (ADHD)  </w:t>
      </w:r>
    </w:p>
    <w:p w14:paraId="2D343EA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FF0EAF3" wp14:editId="58726908">
            <wp:extent cx="126984" cy="126984"/>
            <wp:effectExtent l="0" t="0" r="0" b="0"/>
            <wp:docPr id="100028" name="Picture 100028" descr="Behavioral Health: Bipolar Dis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Bipolar Disorder  </w:t>
      </w:r>
    </w:p>
    <w:p w14:paraId="4854DFD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8344261" wp14:editId="47E36159">
            <wp:extent cx="126984" cy="126984"/>
            <wp:effectExtent l="0" t="0" r="0" b="0"/>
            <wp:docPr id="100030" name="Picture 100030" descr="Behavioral Health: Dep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Depression  </w:t>
      </w:r>
    </w:p>
    <w:p w14:paraId="7B1B298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91A7290" wp14:editId="06A9F959">
            <wp:extent cx="126984" cy="126984"/>
            <wp:effectExtent l="0" t="0" r="0" b="0"/>
            <wp:docPr id="100032" name="Picture 100032" descr="Behavioral Health: Domestic Viol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Domestic Violence  </w:t>
      </w:r>
    </w:p>
    <w:p w14:paraId="5C14AFE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41CF88B3" wp14:editId="51BC0BCD">
            <wp:extent cx="126984" cy="126984"/>
            <wp:effectExtent l="0" t="0" r="0" b="0"/>
            <wp:docPr id="100034" name="Picture 100034" descr="Behavioral Health: Other Serious Mental Ill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Other Serious Mental Illness  </w:t>
      </w:r>
    </w:p>
    <w:p w14:paraId="20AE046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61D89F8" wp14:editId="2642C869">
            <wp:extent cx="126984" cy="126984"/>
            <wp:effectExtent l="0" t="0" r="0" b="0"/>
            <wp:docPr id="100036" name="Picture 100036" descr="Behavioral Health: Post-Traumatic Stress Disorder (PT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Post-Traumatic Stress Disorder (PTSD)  </w:t>
      </w:r>
    </w:p>
    <w:p w14:paraId="4EEC573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B0F2B66" wp14:editId="4000DE4B">
            <wp:extent cx="126984" cy="126984"/>
            <wp:effectExtent l="0" t="0" r="0" b="0"/>
            <wp:docPr id="100038" name="Picture 100038" descr="Behavioral Health: Schizophre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Schizophrenia  </w:t>
      </w:r>
    </w:p>
    <w:p w14:paraId="5BDB74E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C5CAEFF" wp14:editId="0AB25EFB">
            <wp:extent cx="126984" cy="126984"/>
            <wp:effectExtent l="0" t="0" r="0" b="0"/>
            <wp:docPr id="100040" name="Picture 100040" descr="Behavioral Health: Suic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Suicide  </w:t>
      </w:r>
    </w:p>
    <w:p w14:paraId="0D1FE50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7F27DD9" wp14:editId="2CD2F6A7">
            <wp:extent cx="126984" cy="126984"/>
            <wp:effectExtent l="0" t="0" r="0" b="0"/>
            <wp:docPr id="100042" name="Picture 100042" descr="Can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w:t>
      </w:r>
    </w:p>
    <w:p w14:paraId="1BA14E9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44D3238" wp14:editId="108C681C">
            <wp:extent cx="126984" cy="126984"/>
            <wp:effectExtent l="0" t="0" r="0" b="0"/>
            <wp:docPr id="100044" name="Picture 100044" descr="Cancer: Blad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Bladder  </w:t>
      </w:r>
    </w:p>
    <w:p w14:paraId="165036D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582C4DF" wp14:editId="34C7A2E3">
            <wp:extent cx="126984" cy="126984"/>
            <wp:effectExtent l="0" t="0" r="0" b="0"/>
            <wp:docPr id="100046" name="Picture 100046" descr="Cancer: Bre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Breast  </w:t>
      </w:r>
    </w:p>
    <w:p w14:paraId="1E55B7D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9C0AC50" wp14:editId="1F9F6EB4">
            <wp:extent cx="126984" cy="126984"/>
            <wp:effectExtent l="0" t="0" r="0" b="0"/>
            <wp:docPr id="100048" name="Picture 100048" descr="Cancer: Colorec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Colorectal  </w:t>
      </w:r>
    </w:p>
    <w:p w14:paraId="597AA11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266A99C" wp14:editId="7785A4AE">
            <wp:extent cx="126984" cy="126984"/>
            <wp:effectExtent l="0" t="0" r="0" b="0"/>
            <wp:docPr id="100050" name="Picture 100050" descr="Cancer: Gynecolo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Gynecologic  </w:t>
      </w:r>
    </w:p>
    <w:p w14:paraId="50832EC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D0B8D56" wp14:editId="1F3A0C43">
            <wp:extent cx="126984" cy="126984"/>
            <wp:effectExtent l="0" t="0" r="0" b="0"/>
            <wp:docPr id="100052" name="Picture 100052" descr="Cancer: Hematolo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Hematologic  </w:t>
      </w:r>
    </w:p>
    <w:p w14:paraId="53A7257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0F52F06" wp14:editId="2919B400">
            <wp:extent cx="126984" cy="126984"/>
            <wp:effectExtent l="0" t="0" r="0" b="0"/>
            <wp:docPr id="100054" name="Picture 100054" descr="Cancer: L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Liver  </w:t>
      </w:r>
    </w:p>
    <w:p w14:paraId="4E5552D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A1B2E07" wp14:editId="5FC1AE10">
            <wp:extent cx="126984" cy="126984"/>
            <wp:effectExtent l="0" t="0" r="0" b="0"/>
            <wp:docPr id="100056" name="Picture 100056" descr="Cancer: Lung, Esophag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Lung, Esophageal  </w:t>
      </w:r>
    </w:p>
    <w:p w14:paraId="3A590C8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43F8EC1" wp14:editId="35544E04">
            <wp:extent cx="126984" cy="126984"/>
            <wp:effectExtent l="0" t="0" r="0" b="0"/>
            <wp:docPr id="100058" name="Picture 100058" descr="Cancer: Pro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Prostate  </w:t>
      </w:r>
    </w:p>
    <w:p w14:paraId="054276E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E41C95D" wp14:editId="3CD6F3CA">
            <wp:extent cx="126984" cy="126984"/>
            <wp:effectExtent l="0" t="0" r="0" b="0"/>
            <wp:docPr id="100060" name="Picture 100060" descr="Cancer: Re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Renal  </w:t>
      </w:r>
    </w:p>
    <w:p w14:paraId="61D7556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D5361BB" wp14:editId="22D8F224">
            <wp:extent cx="126984" cy="126984"/>
            <wp:effectExtent l="0" t="0" r="0" b="0"/>
            <wp:docPr id="100062" name="Picture 100062" descr="Cancer: S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Skin  </w:t>
      </w:r>
    </w:p>
    <w:p w14:paraId="1CF51F9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7CE132F" wp14:editId="37C2F68C">
            <wp:extent cx="126984" cy="126984"/>
            <wp:effectExtent l="0" t="0" r="0" b="0"/>
            <wp:docPr id="100064" name="Picture 100064" descr="Cancer: Thyr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Cancer: Thyroid  </w:t>
      </w:r>
    </w:p>
    <w:p w14:paraId="02C9103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D793818" wp14:editId="3E69C563">
            <wp:extent cx="126984" cy="126984"/>
            <wp:effectExtent l="0" t="0" r="0" b="0"/>
            <wp:docPr id="100066" name="Picture 100066" descr="Cardiovasc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w:t>
      </w:r>
    </w:p>
    <w:p w14:paraId="7680B2B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AC64A8B" wp14:editId="24269FB3">
            <wp:extent cx="126984" cy="126984"/>
            <wp:effectExtent l="0" t="0" r="0" b="0"/>
            <wp:docPr id="100068" name="Picture 100068" descr="Cardiovascular: Arryth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Arrythmia  </w:t>
      </w:r>
    </w:p>
    <w:p w14:paraId="425556C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8C94A66" wp14:editId="5D3829FB">
            <wp:extent cx="126984" cy="126984"/>
            <wp:effectExtent l="0" t="0" r="0" b="0"/>
            <wp:docPr id="100070" name="Picture 100070" descr="Cardiovascular: Congestive Heart Fail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Congestive Heart Failure  </w:t>
      </w:r>
    </w:p>
    <w:p w14:paraId="5EEDD1C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EAF76FF" wp14:editId="3C74F54B">
            <wp:extent cx="126984" cy="126984"/>
            <wp:effectExtent l="0" t="0" r="0" b="0"/>
            <wp:docPr id="100072" name="Picture 100072" descr="Cardiovascular: Coronary Artery Dis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Coronary Artery Disease  </w:t>
      </w:r>
    </w:p>
    <w:p w14:paraId="64948FF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DF32439" wp14:editId="23C180B7">
            <wp:extent cx="126984" cy="126984"/>
            <wp:effectExtent l="0" t="0" r="0" b="0"/>
            <wp:docPr id="100074" name="Picture 100074" descr="Cardiovascular: Coronary Artery Disease (A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Coronary Artery Disease (AMI)  </w:t>
      </w:r>
    </w:p>
    <w:p w14:paraId="3263A8B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173B66F" wp14:editId="5F2AA4E0">
            <wp:extent cx="126984" cy="126984"/>
            <wp:effectExtent l="0" t="0" r="0" b="0"/>
            <wp:docPr id="100076" name="Picture 100076" descr="Cardiovascular: Coronary Artery Disease (P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Coronary Artery Disease (PCI)  </w:t>
      </w:r>
    </w:p>
    <w:p w14:paraId="344C078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2041C71" wp14:editId="72C3C036">
            <wp:extent cx="126984" cy="126984"/>
            <wp:effectExtent l="0" t="0" r="0" b="0"/>
            <wp:docPr id="100078" name="Picture 100078" descr="Cardiovascular: Hyperlipide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Hyperlipidemia  </w:t>
      </w:r>
    </w:p>
    <w:p w14:paraId="63C90BA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AB1DB6B" wp14:editId="743B75C1">
            <wp:extent cx="126984" cy="126984"/>
            <wp:effectExtent l="0" t="0" r="0" b="0"/>
            <wp:docPr id="100080" name="Picture 100080" descr="Cardiovascular: Hyperte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Hypertension  </w:t>
      </w:r>
    </w:p>
    <w:p w14:paraId="32D1B29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8215DCF" wp14:editId="231888DF">
            <wp:extent cx="126984" cy="126984"/>
            <wp:effectExtent l="0" t="0" r="0" b="0"/>
            <wp:docPr id="100082" name="Picture 100082" descr="Cardiovascular: Secondary Prev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Cardiovascular: Secondary Prevention  </w:t>
      </w:r>
    </w:p>
    <w:p w14:paraId="31BCC39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7F478F1A" wp14:editId="7749CC35">
            <wp:extent cx="126984" cy="126984"/>
            <wp:effectExtent l="0" t="0" r="0" b="0"/>
            <wp:docPr id="100084" name="Picture 100084" descr="Critic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Critical Care  </w:t>
      </w:r>
    </w:p>
    <w:p w14:paraId="31A839F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52BFF85" wp14:editId="63F66B4E">
            <wp:extent cx="126984" cy="126984"/>
            <wp:effectExtent l="0" t="0" r="0" b="0"/>
            <wp:docPr id="100086" name="Picture 100086" descr="Critical Care: Assisted Venti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Critical Care: Assisted Ventilation  </w:t>
      </w:r>
    </w:p>
    <w:p w14:paraId="1DC3B45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F7F6EF1" wp14:editId="56D00B0F">
            <wp:extent cx="126984" cy="126984"/>
            <wp:effectExtent l="0" t="0" r="0" b="0"/>
            <wp:docPr id="100088" name="Picture 100088" descr="Critical Care: Intensive Monit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Critical Care: Intensive Monitoring  </w:t>
      </w:r>
    </w:p>
    <w:p w14:paraId="77E9FC4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64533DE" wp14:editId="27E370F7">
            <wp:extent cx="126984" cy="126984"/>
            <wp:effectExtent l="0" t="0" r="0" b="0"/>
            <wp:docPr id="100090" name="Picture 100090" descr="D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Dental  </w:t>
      </w:r>
    </w:p>
    <w:p w14:paraId="668093C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B7178BD" wp14:editId="2B31CFAA">
            <wp:extent cx="126984" cy="126984"/>
            <wp:effectExtent l="0" t="0" r="0" b="0"/>
            <wp:docPr id="100092" name="Picture 100092" descr="Dental: C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Dental: Caries  </w:t>
      </w:r>
    </w:p>
    <w:p w14:paraId="6DB2EF1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0F880E7" wp14:editId="4875F715">
            <wp:extent cx="126984" cy="126984"/>
            <wp:effectExtent l="0" t="0" r="0" b="0"/>
            <wp:docPr id="100094" name="Picture 100094" descr="Dental: Tooth L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Dental: Tooth Loss  </w:t>
      </w:r>
    </w:p>
    <w:p w14:paraId="048C555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094C04F" wp14:editId="15A2952E">
            <wp:extent cx="126984" cy="126984"/>
            <wp:effectExtent l="0" t="0" r="0" b="0"/>
            <wp:docPr id="100096" name="Picture 100096" descr="Ears, Nose, Throat (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Ears, Nose, Throat (ENT)  </w:t>
      </w:r>
    </w:p>
    <w:p w14:paraId="16B21BB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941D091" wp14:editId="0CEB0FC3">
            <wp:extent cx="126984" cy="126984"/>
            <wp:effectExtent l="0" t="0" r="0" b="0"/>
            <wp:docPr id="100098" name="Picture 100098" descr="Ears, Nose, Throat (ENT): Ear Inf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Ears, Nose, Throat (ENT): Ear Infection  </w:t>
      </w:r>
    </w:p>
    <w:p w14:paraId="49DDBE5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0C87173" wp14:editId="14B518CE">
            <wp:extent cx="126984" cy="126984"/>
            <wp:effectExtent l="0" t="0" r="0" b="0"/>
            <wp:docPr id="100100" name="Picture 100100" descr="Ears, Nose, Throat (ENT): Hea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Ears, Nose, Throat (ENT): Hearing  </w:t>
      </w:r>
    </w:p>
    <w:p w14:paraId="5ADB729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2854A04" wp14:editId="4E753140">
            <wp:extent cx="126984" cy="126984"/>
            <wp:effectExtent l="0" t="0" r="0" b="0"/>
            <wp:docPr id="100102" name="Picture 100102" descr="Ears, Nose, Throat (ENT): Pharyng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Ears, Nose, Throat (ENT): Pharyngitis  </w:t>
      </w:r>
    </w:p>
    <w:p w14:paraId="2FC8993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0EF4E21" wp14:editId="7795055A">
            <wp:extent cx="126984" cy="126984"/>
            <wp:effectExtent l="0" t="0" r="0" b="0"/>
            <wp:docPr id="100104" name="Picture 100104" descr="Ears, Nose, Throat (ENT): Tonsil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Ears, Nose, Throat (ENT): Tonsilitis  </w:t>
      </w:r>
    </w:p>
    <w:p w14:paraId="3DA9FAC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AFB44D6" wp14:editId="048C7D6B">
            <wp:extent cx="126984" cy="126984"/>
            <wp:effectExtent l="0" t="0" r="0" b="0"/>
            <wp:docPr id="100106" name="Picture 100106" descr="Endocr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Endocrine  </w:t>
      </w:r>
    </w:p>
    <w:p w14:paraId="3D06F93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CB423C7" wp14:editId="45CD3BB8">
            <wp:extent cx="126984" cy="126984"/>
            <wp:effectExtent l="0" t="0" r="0" b="0"/>
            <wp:docPr id="100108" name="Picture 100108" descr="Endocrine: Calcium and Metabolic Bone Dis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Endocrine: Calcium and Metabolic Bone Disorders  </w:t>
      </w:r>
    </w:p>
    <w:p w14:paraId="4F947B8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D78E50C" wp14:editId="51F7EA14">
            <wp:extent cx="126984" cy="126984"/>
            <wp:effectExtent l="0" t="0" r="0" b="0"/>
            <wp:docPr id="100110" name="Picture 100110" descr="Endocrine: Diabe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Endocrine: Diabetes  </w:t>
      </w:r>
    </w:p>
    <w:p w14:paraId="0E5449E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EDBF0AF" wp14:editId="46AD473C">
            <wp:extent cx="126984" cy="126984"/>
            <wp:effectExtent l="0" t="0" r="0" b="0"/>
            <wp:docPr id="100112" name="Picture 100112" descr="Endocrine: Female and Male Endocrine Dis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Endocrine: Female and Male Endocrine Disorders  </w:t>
      </w:r>
    </w:p>
    <w:p w14:paraId="52A4FF6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092A497" wp14:editId="14C0D587">
            <wp:extent cx="126984" cy="126984"/>
            <wp:effectExtent l="0" t="0" r="0" b="0"/>
            <wp:docPr id="100114" name="Picture 100114" descr="Endocrine: Hypothalamic-Pituitary Dis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Endocrine: Hypothalamic-Pituitary Disorders  </w:t>
      </w:r>
    </w:p>
    <w:p w14:paraId="1EE731B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4CC5703" wp14:editId="6E32F18E">
            <wp:extent cx="126984" cy="126984"/>
            <wp:effectExtent l="0" t="0" r="0" b="0"/>
            <wp:docPr id="100116" name="Picture 100116" descr="Endocrine: Thyroid Dis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Endocrine: Thyroid Disorders  </w:t>
      </w:r>
    </w:p>
    <w:p w14:paraId="266B19C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369C67A" wp14:editId="7BF013C1">
            <wp:extent cx="126984" cy="126984"/>
            <wp:effectExtent l="0" t="0" r="0" b="0"/>
            <wp:docPr id="100118" name="Picture 100118" descr="Eye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Eye Care  </w:t>
      </w:r>
    </w:p>
    <w:p w14:paraId="75C8375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432C05C" wp14:editId="6A0A5CF7">
            <wp:extent cx="126984" cy="126984"/>
            <wp:effectExtent l="0" t="0" r="0" b="0"/>
            <wp:docPr id="100120" name="Picture 100120" descr="Eye Care: Age-related macular degeneration (AM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Eye Care: Age-related macular degeneration (AMD)  </w:t>
      </w:r>
    </w:p>
    <w:p w14:paraId="1CFFD4D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A9D5DE0" wp14:editId="722734A9">
            <wp:extent cx="126984" cy="126984"/>
            <wp:effectExtent l="0" t="0" r="0" b="0"/>
            <wp:docPr id="100122" name="Picture 100122" descr="Eye Care: Catara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Eye Care: Cataracts  </w:t>
      </w:r>
    </w:p>
    <w:p w14:paraId="1D959DB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51C32E0" wp14:editId="05D8A268">
            <wp:extent cx="126984" cy="126984"/>
            <wp:effectExtent l="0" t="0" r="0" b="0"/>
            <wp:docPr id="100124" name="Picture 100124" descr="Eye Care: Diabetic retinopat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Eye Care: Diabetic retinopathy  </w:t>
      </w:r>
    </w:p>
    <w:p w14:paraId="0FD04C4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2DB19E4" wp14:editId="0A7D1CD1">
            <wp:extent cx="126984" cy="126984"/>
            <wp:effectExtent l="0" t="0" r="0" b="0"/>
            <wp:docPr id="100126" name="Picture 100126" descr="Eye Care: Glauc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Eye Care: Glaucoma  </w:t>
      </w:r>
    </w:p>
    <w:p w14:paraId="4509F3C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CC7415C" wp14:editId="0323528C">
            <wp:extent cx="126984" cy="126984"/>
            <wp:effectExtent l="0" t="0" r="0" b="0"/>
            <wp:docPr id="100128" name="Picture 100128" descr="Gastrointestinal (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w:t>
      </w:r>
    </w:p>
    <w:p w14:paraId="29D968B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D227C87" wp14:editId="2F1045AD">
            <wp:extent cx="126984" cy="126984"/>
            <wp:effectExtent l="0" t="0" r="0" b="0"/>
            <wp:docPr id="100130" name="Picture 100130" descr="Gastrointestinal (GI): Constip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Constipation  </w:t>
      </w:r>
    </w:p>
    <w:p w14:paraId="1493FFE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E4DC75B" wp14:editId="28E5A8CE">
            <wp:extent cx="126984" cy="126984"/>
            <wp:effectExtent l="0" t="0" r="0" b="0"/>
            <wp:docPr id="100132" name="Picture 100132" descr="Gastrointestinal (GI): Gall Bladder Dis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Gall Bladder Disease  </w:t>
      </w:r>
    </w:p>
    <w:p w14:paraId="0CCC908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0D89A9E6" wp14:editId="7547A5D5">
            <wp:extent cx="126984" cy="126984"/>
            <wp:effectExtent l="0" t="0" r="0" b="0"/>
            <wp:docPr id="100134" name="Picture 100134" descr="Gastrointestinal (GI): Gastroenter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Gastroenteritis  </w:t>
      </w:r>
    </w:p>
    <w:p w14:paraId="1ED0E4C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8B1CEF1" wp14:editId="385CE96A">
            <wp:extent cx="126984" cy="126984"/>
            <wp:effectExtent l="0" t="0" r="0" b="0"/>
            <wp:docPr id="100136" name="Picture 100136" descr="Gastrointestinal (GI): Gastro-Esophageal Reflux Disease (G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Gastro-Esophageal Reflux Disease (GERD)  </w:t>
      </w:r>
    </w:p>
    <w:p w14:paraId="4EE4A0E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F7356A1" wp14:editId="66CF577F">
            <wp:extent cx="126984" cy="126984"/>
            <wp:effectExtent l="0" t="0" r="0" b="0"/>
            <wp:docPr id="100138" name="Picture 100138" descr="Gastrointestinal (GI): Hemorrho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Hemorrhoids  </w:t>
      </w:r>
    </w:p>
    <w:p w14:paraId="33FE4B4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B5C8A63" wp14:editId="6835DD57">
            <wp:extent cx="126984" cy="126984"/>
            <wp:effectExtent l="0" t="0" r="0" b="0"/>
            <wp:docPr id="100140" name="Picture 100140" descr="Gastrointestinal (GI): Her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Hernia  </w:t>
      </w:r>
    </w:p>
    <w:p w14:paraId="3D9B094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5794997" wp14:editId="490910C7">
            <wp:extent cx="126984" cy="126984"/>
            <wp:effectExtent l="0" t="0" r="0" b="0"/>
            <wp:docPr id="100142" name="Picture 100142" descr="Gastrointestinal (GI): Inflammatory Bowel Dis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Inflammatory Bowel Disease  </w:t>
      </w:r>
    </w:p>
    <w:p w14:paraId="7FC0003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BD583EC" wp14:editId="4932E893">
            <wp:extent cx="126984" cy="126984"/>
            <wp:effectExtent l="0" t="0" r="0" b="0"/>
            <wp:docPr id="100144" name="Picture 100144" descr="Gastrointestinal (GI): Irritable Bowel Syndr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Irritable Bowel Syndrome  </w:t>
      </w:r>
    </w:p>
    <w:p w14:paraId="03D5683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1112259" wp14:editId="495F8D18">
            <wp:extent cx="126984" cy="126984"/>
            <wp:effectExtent l="0" t="0" r="0" b="0"/>
            <wp:docPr id="100146" name="Picture 100146" descr="Gastrointestinal (GI): Peptic Ul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Gastrointestinal (GI): Peptic Ulcer  </w:t>
      </w:r>
    </w:p>
    <w:p w14:paraId="2D0BFA3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1B4A69C" wp14:editId="3A68A728">
            <wp:extent cx="126984" cy="126984"/>
            <wp:effectExtent l="0" t="0" r="0" b="0"/>
            <wp:docPr id="100148" name="Picture 100148" descr="Genitourinary (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Genitourinary (GU)  </w:t>
      </w:r>
    </w:p>
    <w:p w14:paraId="3F8A1F7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BE1865E" wp14:editId="75ECA002">
            <wp:extent cx="126984" cy="126984"/>
            <wp:effectExtent l="0" t="0" r="0" b="0"/>
            <wp:docPr id="100150" name="Picture 100150" descr="Genitourinary (GU): Benign Prostatic Hyperpl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Genitourinary (GU): Benign Prostatic Hyperplasia  </w:t>
      </w:r>
    </w:p>
    <w:p w14:paraId="30E4EC4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1C36118" wp14:editId="0F708CA5">
            <wp:extent cx="126984" cy="126984"/>
            <wp:effectExtent l="0" t="0" r="0" b="0"/>
            <wp:docPr id="100152" name="Picture 100152" descr="Genitourinary (GU): Erectile Dysfunction/Premature Ejac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Genitourinary (GU): Erectile Dysfunction/Premature Ejaculation  </w:t>
      </w:r>
    </w:p>
    <w:p w14:paraId="5948F21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BD04EE2" wp14:editId="316F361A">
            <wp:extent cx="126984" cy="126984"/>
            <wp:effectExtent l="0" t="0" r="0" b="0"/>
            <wp:docPr id="100154" name="Picture 100154" descr="Genitourinary (GU): Incontinence/pelvic floor dis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Genitourinary (GU): Incontinence/pelvic floor disorders  </w:t>
      </w:r>
    </w:p>
    <w:p w14:paraId="5E7BA90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27B62FB" wp14:editId="2291015D">
            <wp:extent cx="126984" cy="126984"/>
            <wp:effectExtent l="0" t="0" r="0" b="0"/>
            <wp:docPr id="100156" name="Picture 100156" descr="Genitourinary (GU): Prostat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Genitourinary (GU): Prostatitis  </w:t>
      </w:r>
    </w:p>
    <w:p w14:paraId="4910617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FEE1FE2" wp14:editId="5D49E56F">
            <wp:extent cx="126984" cy="126984"/>
            <wp:effectExtent l="0" t="0" r="0" b="0"/>
            <wp:docPr id="100158" name="Picture 100158" descr="Genitourinary (GU): Urinary Tract Injection (U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Genitourinary (GU): Urinary Tract Injection (UTI)  </w:t>
      </w:r>
    </w:p>
    <w:p w14:paraId="1478BA2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6F3C656" wp14:editId="010CCA7B">
            <wp:extent cx="126984" cy="126984"/>
            <wp:effectExtent l="0" t="0" r="0" b="0"/>
            <wp:docPr id="100160" name="Picture 100160" descr="Gynecology (G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Gynecology (GYN)  </w:t>
      </w:r>
    </w:p>
    <w:p w14:paraId="76891C9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2C08043" wp14:editId="0E05714C">
            <wp:extent cx="126984" cy="126984"/>
            <wp:effectExtent l="0" t="0" r="0" b="0"/>
            <wp:docPr id="100162" name="Picture 100162" descr="Gynecology (GYN): Abnormal blee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Gynecology (GYN): Abnormal bleeding  </w:t>
      </w:r>
    </w:p>
    <w:p w14:paraId="0519B05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1D81F38" wp14:editId="5B325A12">
            <wp:extent cx="126984" cy="126984"/>
            <wp:effectExtent l="0" t="0" r="0" b="0"/>
            <wp:docPr id="100164" name="Picture 100164" descr="Gynecology (GYN): Endometr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Gynecology (GYN): Endometriosis  </w:t>
      </w:r>
    </w:p>
    <w:p w14:paraId="458E75A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5B63D42" wp14:editId="2B58D9DB">
            <wp:extent cx="126984" cy="126984"/>
            <wp:effectExtent l="0" t="0" r="0" b="0"/>
            <wp:docPr id="100166" name="Picture 100166" descr="Gynecology (GYN): Inf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Gynecology (GYN): Infections  </w:t>
      </w:r>
    </w:p>
    <w:p w14:paraId="0543B00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AAA67F9" wp14:editId="466384E3">
            <wp:extent cx="126984" cy="126984"/>
            <wp:effectExtent l="0" t="0" r="0" b="0"/>
            <wp:docPr id="100168" name="Picture 100168" descr="Gynecology (GYN): Menopa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Gynecology (GYN): Menopause  </w:t>
      </w:r>
    </w:p>
    <w:p w14:paraId="10C3DC4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2EDD29A" wp14:editId="28B54B7E">
            <wp:extent cx="126984" cy="126984"/>
            <wp:effectExtent l="0" t="0" r="0" b="0"/>
            <wp:docPr id="100170" name="Picture 100170" descr="Gynecology (GYN): Pelvic P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Gynecology (GYN): Pelvic Pain  </w:t>
      </w:r>
    </w:p>
    <w:p w14:paraId="44E62EF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E1DE9D4" wp14:editId="6CA047AC">
            <wp:extent cx="126984" cy="126984"/>
            <wp:effectExtent l="0" t="0" r="0" b="0"/>
            <wp:docPr id="100172" name="Picture 100172" descr="Gynecology (GYN): Uterine fibro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Gynecology (GYN): Uterine fibroids  </w:t>
      </w:r>
    </w:p>
    <w:p w14:paraId="4DA482C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BEA93A2" wp14:editId="512E9B52">
            <wp:extent cx="126984" cy="126984"/>
            <wp:effectExtent l="0" t="0" r="0" b="0"/>
            <wp:docPr id="100174" name="Picture 100174" descr="Infectious Diseases (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w:t>
      </w:r>
    </w:p>
    <w:p w14:paraId="3B3A36A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4098118" wp14:editId="7BAA2332">
            <wp:extent cx="126984" cy="126984"/>
            <wp:effectExtent l="0" t="0" r="0" b="0"/>
            <wp:docPr id="100176" name="Picture 100176" descr="Infectious Diseases (ID): HIV/A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HIV/AIDS  </w:t>
      </w:r>
    </w:p>
    <w:p w14:paraId="43508D0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9153F2F" wp14:editId="4F25B807">
            <wp:extent cx="126984" cy="126984"/>
            <wp:effectExtent l="0" t="0" r="0" b="0"/>
            <wp:docPr id="100178" name="Picture 100178" descr="Infectious Diseases (ID): Influe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Influenza  </w:t>
      </w:r>
    </w:p>
    <w:p w14:paraId="043E000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511C918" wp14:editId="465C94C8">
            <wp:extent cx="126984" cy="126984"/>
            <wp:effectExtent l="0" t="0" r="0" b="0"/>
            <wp:docPr id="100180" name="Picture 100180" descr="Infectious Diseases (ID): Lyme Dis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Lyme Disease  </w:t>
      </w:r>
    </w:p>
    <w:p w14:paraId="5994143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8C48842" wp14:editId="56AC3061">
            <wp:extent cx="126984" cy="126984"/>
            <wp:effectExtent l="0" t="0" r="0" b="0"/>
            <wp:docPr id="100182" name="Picture 100182" descr="Infectious Diseases (ID): Meningococcal Dis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Meningococcal Disease  </w:t>
      </w:r>
    </w:p>
    <w:p w14:paraId="20D9402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26C8E25D" wp14:editId="03A0DD8F">
            <wp:extent cx="126984" cy="126984"/>
            <wp:effectExtent l="0" t="0" r="0" b="0"/>
            <wp:docPr id="100184" name="Picture 100184" descr="Infectious Diseases (ID): Pneumonia and respiratory inf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Pneumonia and respiratory infections  </w:t>
      </w:r>
    </w:p>
    <w:p w14:paraId="497DEEE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D606D46" wp14:editId="074CE45C">
            <wp:extent cx="126984" cy="126984"/>
            <wp:effectExtent l="0" t="0" r="0" b="0"/>
            <wp:docPr id="100186" name="Picture 100186" descr="Infectious Diseases (ID): Sep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Sepsis  </w:t>
      </w:r>
    </w:p>
    <w:p w14:paraId="7F43079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BE14D4D" wp14:editId="7D5F5F6E">
            <wp:extent cx="126984" cy="126984"/>
            <wp:effectExtent l="0" t="0" r="0" b="0"/>
            <wp:docPr id="100188" name="Picture 100188" descr="Infectious Diseases (ID): Sexually Transmit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Sexually Transmitted  </w:t>
      </w:r>
    </w:p>
    <w:p w14:paraId="4987B08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EDD04B5" wp14:editId="100A7670">
            <wp:extent cx="126984" cy="126984"/>
            <wp:effectExtent l="0" t="0" r="0" b="0"/>
            <wp:docPr id="100190" name="Picture 100190" descr="Infectious Diseases (ID): Tubercul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Infectious Diseases (ID): Tuberculosis  </w:t>
      </w:r>
    </w:p>
    <w:p w14:paraId="758C288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C6E62A0" wp14:editId="31CAA051">
            <wp:extent cx="126984" cy="126984"/>
            <wp:effectExtent l="0" t="0" r="0" b="0"/>
            <wp:docPr id="100192" name="Picture 100192" descr="L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Liver  </w:t>
      </w:r>
    </w:p>
    <w:p w14:paraId="1CFC663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5751792" wp14:editId="38161534">
            <wp:extent cx="126984" cy="126984"/>
            <wp:effectExtent l="0" t="0" r="0" b="0"/>
            <wp:docPr id="100194" name="Picture 100194" descr="Liver: Viral Hepat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Liver: Viral Hepatitis  </w:t>
      </w:r>
    </w:p>
    <w:p w14:paraId="19EA206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2384B93" wp14:editId="04B81E86">
            <wp:extent cx="126984" cy="126984"/>
            <wp:effectExtent l="0" t="0" r="0" b="0"/>
            <wp:docPr id="100196" name="Picture 100196" descr="Musculoskele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Musculoskeletal  </w:t>
      </w:r>
    </w:p>
    <w:p w14:paraId="45EAC44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6779F2C" wp14:editId="56222011">
            <wp:extent cx="126984" cy="126984"/>
            <wp:effectExtent l="0" t="0" r="0" b="0"/>
            <wp:docPr id="100198" name="Picture 100198" descr="Musculoskeletal: Falls and Traumatic Inj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Musculoskeletal: Falls and Traumatic Injury  </w:t>
      </w:r>
    </w:p>
    <w:p w14:paraId="5A7880A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6351825" wp14:editId="6DEC39D3">
            <wp:extent cx="126984" cy="126984"/>
            <wp:effectExtent l="0" t="0" r="0" b="0"/>
            <wp:docPr id="100200" name="Picture 100200" descr="Musculoskeletal: G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Musculoskeletal: Gout  </w:t>
      </w:r>
    </w:p>
    <w:p w14:paraId="5BEB7A1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A73538F" wp14:editId="55594AD2">
            <wp:extent cx="126984" cy="126984"/>
            <wp:effectExtent l="0" t="0" r="0" b="0"/>
            <wp:docPr id="100202" name="Picture 100202" descr="Musculoskeletal: Joint Surg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Musculoskeletal: Joint Surgery  </w:t>
      </w:r>
    </w:p>
    <w:p w14:paraId="73B81A9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D984B21" wp14:editId="36871FF5">
            <wp:extent cx="126984" cy="126984"/>
            <wp:effectExtent l="0" t="0" r="0" b="0"/>
            <wp:docPr id="100204" name="Picture 100204" descr="Musculoskeletal: Low Back P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Musculoskeletal: Low Back Pain  </w:t>
      </w:r>
    </w:p>
    <w:p w14:paraId="78E05F2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8E1D437" wp14:editId="0A97367F">
            <wp:extent cx="126984" cy="126984"/>
            <wp:effectExtent l="0" t="0" r="0" b="0"/>
            <wp:docPr id="100206" name="Picture 100206" descr="Musculoskeletal: Osteoarthr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Musculoskeletal: Osteoarthritis  </w:t>
      </w:r>
    </w:p>
    <w:p w14:paraId="52AF4EC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6126AFE" wp14:editId="6B9F8FB3">
            <wp:extent cx="126984" cy="126984"/>
            <wp:effectExtent l="0" t="0" r="0" b="0"/>
            <wp:docPr id="100208" name="Picture 100208" descr="Musculoskeletal: Osteopor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Musculoskeletal: Osteoporosis  </w:t>
      </w:r>
    </w:p>
    <w:p w14:paraId="2A6E32F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358C8C6" wp14:editId="601B52C8">
            <wp:extent cx="126984" cy="126984"/>
            <wp:effectExtent l="0" t="0" r="0" b="0"/>
            <wp:docPr id="100210" name="Picture 100210" descr="Musculoskeletal: Rheumatoid Arthr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Musculoskeletal: Rheumatoid Arthritis  </w:t>
      </w:r>
    </w:p>
    <w:p w14:paraId="60A6CFB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343B05B" wp14:editId="26D1438A">
            <wp:extent cx="126984" cy="126984"/>
            <wp:effectExtent l="0" t="0" r="0" b="0"/>
            <wp:docPr id="100212" name="Picture 100212" descr="Neur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w:t>
      </w:r>
    </w:p>
    <w:p w14:paraId="7A7B044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518CC9D" wp14:editId="636E87D0">
            <wp:extent cx="126984" cy="126984"/>
            <wp:effectExtent l="0" t="0" r="0" b="0"/>
            <wp:docPr id="100214" name="Picture 100214" descr="Neurology: Alzheimer's Dis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Alzheimer's Disease  </w:t>
      </w:r>
    </w:p>
    <w:p w14:paraId="5C601A7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25D1C2B" wp14:editId="690E5CC9">
            <wp:extent cx="126984" cy="126984"/>
            <wp:effectExtent l="0" t="0" r="0" b="0"/>
            <wp:docPr id="100216" name="Picture 100216" descr="Neurology: Aut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Autism  </w:t>
      </w:r>
    </w:p>
    <w:p w14:paraId="6DE43F0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70A6994" wp14:editId="15813573">
            <wp:extent cx="126984" cy="126984"/>
            <wp:effectExtent l="0" t="0" r="0" b="0"/>
            <wp:docPr id="100218" name="Picture 100218" descr="Neurology: Brain Inj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Brain Injury  </w:t>
      </w:r>
    </w:p>
    <w:p w14:paraId="68534D7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8EC38B9" wp14:editId="3948D0AC">
            <wp:extent cx="126984" cy="126984"/>
            <wp:effectExtent l="0" t="0" r="0" b="0"/>
            <wp:docPr id="100220" name="Picture 100220" descr="Neurology: Epilep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Epilepsy  </w:t>
      </w:r>
    </w:p>
    <w:p w14:paraId="5ED0426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97A2A8E" wp14:editId="1EBF5BC9">
            <wp:extent cx="126984" cy="126984"/>
            <wp:effectExtent l="0" t="0" r="0" b="0"/>
            <wp:docPr id="100222" name="Picture 100222" descr="Neurology: Migr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Migraine  </w:t>
      </w:r>
    </w:p>
    <w:p w14:paraId="769101C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E30EB76" wp14:editId="25C5E59C">
            <wp:extent cx="126984" cy="126984"/>
            <wp:effectExtent l="0" t="0" r="0" b="0"/>
            <wp:docPr id="100224" name="Picture 100224" descr="Neurology: Parkinson's Dis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Parkinson's Disease  </w:t>
      </w:r>
    </w:p>
    <w:p w14:paraId="33FEE3C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406600C" wp14:editId="739F860C">
            <wp:extent cx="126984" cy="126984"/>
            <wp:effectExtent l="0" t="0" r="0" b="0"/>
            <wp:docPr id="100226" name="Picture 100226" descr="Neurology: Spinal Cord Inj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Spinal Cord Injury  </w:t>
      </w:r>
    </w:p>
    <w:p w14:paraId="5474F5B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9E66475" wp14:editId="26A8BE23">
            <wp:extent cx="126984" cy="126984"/>
            <wp:effectExtent l="0" t="0" r="0" b="0"/>
            <wp:docPr id="100228" name="Picture 100228" descr="Neurology: Stroke/Transient Ischemic Attack (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Neurology: Stroke/Transient Ischemic Attack (TIA)  </w:t>
      </w:r>
    </w:p>
    <w:p w14:paraId="2603AF6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2931231" wp14:editId="4F2DB499">
            <wp:extent cx="126984" cy="126984"/>
            <wp:effectExtent l="0" t="0" r="0" b="0"/>
            <wp:docPr id="100230" name="Picture 100230"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766C92D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7762069" wp14:editId="79C612EA">
            <wp:extent cx="126984" cy="126984"/>
            <wp:effectExtent l="0" t="0" r="0" b="0"/>
            <wp:docPr id="100232" name="Picture 100232" descr="Palliative Care and End-of-Life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Palliative Care and End-of-Life Care  </w:t>
      </w:r>
    </w:p>
    <w:p w14:paraId="3E49A06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3ED092BE" wp14:editId="629A670D">
            <wp:extent cx="126984" cy="126984"/>
            <wp:effectExtent l="0" t="0" r="0" b="0"/>
            <wp:docPr id="100234" name="Picture 100234" descr="Palliative Care and End-of-Life Care: Advanced Direct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Palliative Care and End-of-Life Care: Advanced Directives  </w:t>
      </w:r>
    </w:p>
    <w:p w14:paraId="299AD9F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8704A5E" wp14:editId="66E1E086">
            <wp:extent cx="126984" cy="126984"/>
            <wp:effectExtent l="0" t="0" r="0" b="0"/>
            <wp:docPr id="100236" name="Picture 100236" descr="Palliative Care and End-of-Life Care: Amyotrophic Lateral Sclerosis (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Palliative Care and End-of-Life Care: Amyotrophic Lateral Sclerosis (ALS)  </w:t>
      </w:r>
    </w:p>
    <w:p w14:paraId="34A9D1E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26F4F7F" wp14:editId="03497450">
            <wp:extent cx="126984" cy="126984"/>
            <wp:effectExtent l="0" t="0" r="0" b="0"/>
            <wp:docPr id="100238" name="Picture 100238" descr="Palliative Care and End-of-Life Care: Hospice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Palliative Care and End-of-Life Care: Hospice Management  </w:t>
      </w:r>
    </w:p>
    <w:p w14:paraId="71E70CB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3FFC4E2" wp14:editId="7630D5D4">
            <wp:extent cx="126984" cy="126984"/>
            <wp:effectExtent l="0" t="0" r="0" b="0"/>
            <wp:docPr id="100240" name="Picture 100240" descr="Palliative Care and End-of-Life Care: Inappropriate use of acute car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Palliative Care and End-of-Life Care: Inappropriate use of acute care services  </w:t>
      </w:r>
    </w:p>
    <w:p w14:paraId="47E0D63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A88265E" wp14:editId="6434C3D4">
            <wp:extent cx="126984" cy="126984"/>
            <wp:effectExtent l="0" t="0" r="0" b="0"/>
            <wp:docPr id="100242" name="Picture 100242" descr="Palliative Care and End-of-Life Care: Pain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Palliative Care and End-of-Life Care: Pain Management  </w:t>
      </w:r>
    </w:p>
    <w:p w14:paraId="1786421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7499A7E" wp14:editId="3DB8C4FE">
            <wp:extent cx="126984" cy="126984"/>
            <wp:effectExtent l="0" t="0" r="0" b="0"/>
            <wp:docPr id="100244" name="Picture 100244" descr="Perinatal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Perinatal Health  </w:t>
      </w:r>
    </w:p>
    <w:p w14:paraId="14A129F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46A095B" wp14:editId="22F5D408">
            <wp:extent cx="126984" cy="126984"/>
            <wp:effectExtent l="0" t="0" r="0" b="0"/>
            <wp:docPr id="100246" name="Picture 100246" descr="Perinatal Health: Labor and Deli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Perinatal Health: Labor and Delivery  </w:t>
      </w:r>
    </w:p>
    <w:p w14:paraId="05D4C85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BD40701" wp14:editId="201D91E0">
            <wp:extent cx="126984" cy="126984"/>
            <wp:effectExtent l="0" t="0" r="0" b="0"/>
            <wp:docPr id="100248" name="Picture 100248" descr="Perinatal Health: Newborn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Perinatal Health: Newborn Care  </w:t>
      </w:r>
    </w:p>
    <w:p w14:paraId="4F17A8D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971F00E" wp14:editId="13130CF9">
            <wp:extent cx="126984" cy="126984"/>
            <wp:effectExtent l="0" t="0" r="0" b="0"/>
            <wp:docPr id="100250" name="Picture 100250" descr="Perinatal Health: Post-Partum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Perinatal Health: Post-Partum Care  </w:t>
      </w:r>
    </w:p>
    <w:p w14:paraId="59B5597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CE575A9" wp14:editId="69DFBFFD">
            <wp:extent cx="126984" cy="126984"/>
            <wp:effectExtent l="0" t="0" r="0" b="0"/>
            <wp:docPr id="100252" name="Picture 100252" descr="Perinatal Health: Preconception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Perinatal Health: Preconception Care  </w:t>
      </w:r>
    </w:p>
    <w:p w14:paraId="1D36BCE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7D546D1" wp14:editId="5C0AAE12">
            <wp:extent cx="126984" cy="126984"/>
            <wp:effectExtent l="0" t="0" r="0" b="0"/>
            <wp:docPr id="100254" name="Picture 100254" descr="Perinatal Health: Prenat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Perinatal Health: Prenatal Care  </w:t>
      </w:r>
    </w:p>
    <w:p w14:paraId="57FA592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0C4C2D4" wp14:editId="37731423">
            <wp:extent cx="126984" cy="126984"/>
            <wp:effectExtent l="0" t="0" r="0" b="0"/>
            <wp:docPr id="100256" name="Picture 100256" descr="Re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Renal  </w:t>
      </w:r>
    </w:p>
    <w:p w14:paraId="3A3B794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4D84361" wp14:editId="079DB0B7">
            <wp:extent cx="126984" cy="126984"/>
            <wp:effectExtent l="0" t="0" r="0" b="0"/>
            <wp:docPr id="100258" name="Picture 100258" descr="Renal: Acute Kidney Inj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Renal: Acute Kidney Injury  </w:t>
      </w:r>
    </w:p>
    <w:p w14:paraId="16A8442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791131A" wp14:editId="2396B63F">
            <wp:extent cx="126984" cy="126984"/>
            <wp:effectExtent l="0" t="0" r="0" b="0"/>
            <wp:docPr id="100260" name="Picture 100260" descr="Renal: Chronic Kidney Disease (CK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Renal: Chronic Kidney Disease (CKD)  </w:t>
      </w:r>
    </w:p>
    <w:p w14:paraId="504C52B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7DA54A5" wp14:editId="3DEE1BE7">
            <wp:extent cx="126984" cy="126984"/>
            <wp:effectExtent l="0" t="0" r="0" b="0"/>
            <wp:docPr id="100262" name="Picture 100262" descr="Renal: End Stage Renal Disease (ES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3"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Renal: End Stage Renal Disease (ESRD)  </w:t>
      </w:r>
    </w:p>
    <w:p w14:paraId="1B0DB3D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2B13E36" wp14:editId="14ACA0E5">
            <wp:extent cx="126984" cy="126984"/>
            <wp:effectExtent l="0" t="0" r="0" b="0"/>
            <wp:docPr id="100264" name="Picture 100264" descr="Renal: Inf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Renal: Infections  </w:t>
      </w:r>
    </w:p>
    <w:p w14:paraId="77B9CB0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DA52DA9" wp14:editId="04D57647">
            <wp:extent cx="126984" cy="126984"/>
            <wp:effectExtent l="0" t="0" r="0" b="0"/>
            <wp:docPr id="100266" name="Picture 100266" descr="Reproductive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Reproductive Health  </w:t>
      </w:r>
    </w:p>
    <w:p w14:paraId="2DAF7A2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C273905" wp14:editId="57C32345">
            <wp:extent cx="126984" cy="126984"/>
            <wp:effectExtent l="0" t="0" r="0" b="0"/>
            <wp:docPr id="100268" name="Picture 100268" descr="Reproductive Health: Family planning and contrace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Reproductive Health: Family planning and contraception  </w:t>
      </w:r>
    </w:p>
    <w:p w14:paraId="3FEF031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42CFF94" wp14:editId="7D55D815">
            <wp:extent cx="126984" cy="126984"/>
            <wp:effectExtent l="0" t="0" r="0" b="0"/>
            <wp:docPr id="100270" name="Picture 100270" descr="Reproductive Health: Infert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Reproductive Health: Infertility  </w:t>
      </w:r>
    </w:p>
    <w:p w14:paraId="4F555A2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14F9FA1" wp14:editId="46ABC306">
            <wp:extent cx="126984" cy="126984"/>
            <wp:effectExtent l="0" t="0" r="0" b="0"/>
            <wp:docPr id="100272" name="Picture 100272" descr="Reproductive Health: Male reproductive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Reproductive Health: Male reproductive health  </w:t>
      </w:r>
    </w:p>
    <w:p w14:paraId="1871304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665875C" wp14:editId="4006A785">
            <wp:extent cx="126984" cy="126984"/>
            <wp:effectExtent l="0" t="0" r="0" b="0"/>
            <wp:docPr id="100274" name="Picture 100274" descr="Respira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Respiratory  </w:t>
      </w:r>
    </w:p>
    <w:p w14:paraId="495551D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A555DA6" wp14:editId="17F69C53">
            <wp:extent cx="126984" cy="126984"/>
            <wp:effectExtent l="0" t="0" r="0" b="0"/>
            <wp:docPr id="100276" name="Picture 100276" descr="Respiratory: Acute Bronch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Respiratory: Acute Bronchitis  </w:t>
      </w:r>
    </w:p>
    <w:p w14:paraId="69321E6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AD7C8A8" wp14:editId="7339D12F">
            <wp:extent cx="126984" cy="126984"/>
            <wp:effectExtent l="0" t="0" r="0" b="0"/>
            <wp:docPr id="100278" name="Picture 100278" descr="Respiratory: All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Respiratory: Allergy  </w:t>
      </w:r>
    </w:p>
    <w:p w14:paraId="42C4C86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C1AF788" wp14:editId="0196CED6">
            <wp:extent cx="126984" cy="126984"/>
            <wp:effectExtent l="0" t="0" r="0" b="0"/>
            <wp:docPr id="100280" name="Picture 100280" descr="Respiratory: Asth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Respiratory: Asthma  </w:t>
      </w:r>
    </w:p>
    <w:p w14:paraId="12481A3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189A496" wp14:editId="687BD4D9">
            <wp:extent cx="126984" cy="126984"/>
            <wp:effectExtent l="0" t="0" r="0" b="0"/>
            <wp:docPr id="100282" name="Picture 100282" descr="Respiratory: Chronic Obstructive Pulmonary Disease (CO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Respiratory: Chronic Obstructive Pulmonary Disease (COPD)  </w:t>
      </w:r>
    </w:p>
    <w:p w14:paraId="732275D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71A183AD" wp14:editId="5C456926">
            <wp:extent cx="126984" cy="126984"/>
            <wp:effectExtent l="0" t="0" r="0" b="0"/>
            <wp:docPr id="100284" name="Picture 100284" descr="Respiratory: Dyspn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Respiratory: Dyspnea  </w:t>
      </w:r>
    </w:p>
    <w:p w14:paraId="0C0E917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DDFC6D2" wp14:editId="3CDB5555">
            <wp:extent cx="126984" cy="126984"/>
            <wp:effectExtent l="0" t="0" r="0" b="0"/>
            <wp:docPr id="100286" name="Picture 100286" descr="Respiratory: Pneumo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Respiratory: Pneumonia  </w:t>
      </w:r>
    </w:p>
    <w:p w14:paraId="25F05C0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5657F36" wp14:editId="61CE1295">
            <wp:extent cx="126984" cy="126984"/>
            <wp:effectExtent l="0" t="0" r="0" b="0"/>
            <wp:docPr id="100288" name="Picture 100288" descr="Respiratory: Sleep Apn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Respiratory: Sleep Apnea  </w:t>
      </w:r>
    </w:p>
    <w:p w14:paraId="1107367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9ABC169" wp14:editId="0D27A679">
            <wp:extent cx="126984" cy="126984"/>
            <wp:effectExtent l="0" t="0" r="0" b="0"/>
            <wp:docPr id="100290" name="Picture 100290" descr="Surg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w:t>
      </w:r>
    </w:p>
    <w:p w14:paraId="5CC01B8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52A34D1" wp14:editId="7F390CFD">
            <wp:extent cx="126984" cy="126984"/>
            <wp:effectExtent l="0" t="0" r="0" b="0"/>
            <wp:docPr id="100292" name="Picture 100292" descr="Surgery: Cardiac Surg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Cardiac Surgery  </w:t>
      </w:r>
    </w:p>
    <w:p w14:paraId="50EC4C9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AB448A9" wp14:editId="015453E4">
            <wp:extent cx="126984" cy="126984"/>
            <wp:effectExtent l="0" t="0" r="0" b="0"/>
            <wp:docPr id="100294" name="Picture 100294" descr="Surgery: Colorec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Colorectal  </w:t>
      </w:r>
    </w:p>
    <w:p w14:paraId="14438BE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B22F2CD" wp14:editId="26C952F4">
            <wp:extent cx="126984" cy="126984"/>
            <wp:effectExtent l="0" t="0" r="0" b="0"/>
            <wp:docPr id="100296" name="Picture 100296" descr="Surgery: General Surg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General Surgery  </w:t>
      </w:r>
    </w:p>
    <w:p w14:paraId="7E5A321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4802DA0" wp14:editId="14632031">
            <wp:extent cx="126984" cy="126984"/>
            <wp:effectExtent l="0" t="0" r="0" b="0"/>
            <wp:docPr id="100298" name="Picture 100298" descr="Surgery: Neurosurgery / Sp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Neurosurgery / Spinal  </w:t>
      </w:r>
    </w:p>
    <w:p w14:paraId="653FB5A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9D6B774" wp14:editId="7D48AF72">
            <wp:extent cx="126984" cy="126984"/>
            <wp:effectExtent l="0" t="0" r="0" b="0"/>
            <wp:docPr id="100300" name="Picture 100300" descr="Surgery: Orthoped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Orthopedic  </w:t>
      </w:r>
    </w:p>
    <w:p w14:paraId="5827BA4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87FA9E3" wp14:editId="04A564E0">
            <wp:extent cx="126984" cy="126984"/>
            <wp:effectExtent l="0" t="0" r="0" b="0"/>
            <wp:docPr id="100302" name="Picture 100302" descr="Surgery: Orthopedic Hip/Pelvic Fra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Orthopedic Hip/Pelvic Fractures  </w:t>
      </w:r>
    </w:p>
    <w:p w14:paraId="0722190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81B9F12" wp14:editId="36B24A22">
            <wp:extent cx="126984" cy="126984"/>
            <wp:effectExtent l="0" t="0" r="0" b="0"/>
            <wp:docPr id="100304" name="Picture 100304" descr="Surgery: Pedia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Pediatric  </w:t>
      </w:r>
    </w:p>
    <w:p w14:paraId="4225DB5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0D2D6F6" wp14:editId="638D88B0">
            <wp:extent cx="126984" cy="126984"/>
            <wp:effectExtent l="0" t="0" r="0" b="0"/>
            <wp:docPr id="100306" name="Picture 100306" descr="Surgery: Perioperative and Anesth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Perioperative and Anesthesia  </w:t>
      </w:r>
    </w:p>
    <w:p w14:paraId="415D216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7C1A260" wp14:editId="6A7F1FEE">
            <wp:extent cx="126984" cy="126984"/>
            <wp:effectExtent l="0" t="0" r="0" b="0"/>
            <wp:docPr id="100308" name="Picture 100308" descr="Surgery: Plas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Plastic  </w:t>
      </w:r>
    </w:p>
    <w:p w14:paraId="2CD7431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9F8CC3F" wp14:editId="48C05E1C">
            <wp:extent cx="126984" cy="126984"/>
            <wp:effectExtent l="0" t="0" r="0" b="0"/>
            <wp:docPr id="100310" name="Picture 100310" descr="Surgery: Thoracic Surg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Thoracic Surgery  </w:t>
      </w:r>
    </w:p>
    <w:p w14:paraId="5936691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6E72E1E" wp14:editId="3DE0F57D">
            <wp:extent cx="126984" cy="126984"/>
            <wp:effectExtent l="0" t="0" r="0" b="0"/>
            <wp:docPr id="100312" name="Picture 100312" descr="Surgery: Trau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Trauma  </w:t>
      </w:r>
    </w:p>
    <w:p w14:paraId="176A114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A3685E9" wp14:editId="18BC431E">
            <wp:extent cx="126984" cy="126984"/>
            <wp:effectExtent l="0" t="0" r="0" b="0"/>
            <wp:docPr id="100314" name="Picture 100314" descr="Surgery: Vascular Surg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Surgery: Vascular Surgery  </w:t>
      </w:r>
    </w:p>
    <w:p w14:paraId="5B26025F" w14:textId="77777777" w:rsidR="00A77B3E" w:rsidRDefault="00A77B3E">
      <w:pPr>
        <w:spacing w:after="240"/>
        <w:rPr>
          <w:rFonts w:ascii="Calibri" w:eastAsia="Calibri" w:hAnsi="Calibri" w:cs="Calibri"/>
          <w:color w:val="000000"/>
          <w:sz w:val="22"/>
        </w:rPr>
      </w:pPr>
    </w:p>
    <w:p w14:paraId="5C35E31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sp.05) Check all the non-condition specific measure domain areas that apply to your measure, below.</w:t>
      </w:r>
    </w:p>
    <w:p w14:paraId="1A557E0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96798F7" wp14:editId="6663DEA5">
            <wp:extent cx="126984" cy="126984"/>
            <wp:effectExtent l="0" t="0" r="0" b="0"/>
            <wp:docPr id="100316" name="Picture 100316" descr="Access to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Access to Care  </w:t>
      </w:r>
    </w:p>
    <w:p w14:paraId="5CD0FE3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0615282" wp14:editId="50A714A6">
            <wp:extent cx="126984" cy="126984"/>
            <wp:effectExtent l="0" t="0" r="0" b="0"/>
            <wp:docPr id="100318" name="Picture 100318" descr="Care Coordi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Care Coordination  </w:t>
      </w:r>
    </w:p>
    <w:p w14:paraId="58B4F00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4D012D3" wp14:editId="2D6EFF6C">
            <wp:extent cx="126984" cy="126984"/>
            <wp:effectExtent l="0" t="0" r="0" b="0"/>
            <wp:docPr id="100320" name="Picture 100320" descr="Care Coordination: Readmi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Care Coordination: Readmissions  </w:t>
      </w:r>
    </w:p>
    <w:p w14:paraId="3069F06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64992C0" wp14:editId="1F8F924A">
            <wp:extent cx="126984" cy="126984"/>
            <wp:effectExtent l="0" t="0" r="0" b="0"/>
            <wp:docPr id="100322" name="Picture 100322" descr="Care Coordination: Transitions of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Care Coordination: Transitions of Care  </w:t>
      </w:r>
    </w:p>
    <w:p w14:paraId="6B3946E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1EBDFBF" wp14:editId="30F38B70">
            <wp:extent cx="126984" cy="126984"/>
            <wp:effectExtent l="0" t="0" r="0" b="0"/>
            <wp:docPr id="100324" name="Picture 100324" descr="Disparities Sen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Disparities Sensitive  </w:t>
      </w:r>
    </w:p>
    <w:p w14:paraId="0F6327A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A39147E" wp14:editId="4AD3E038">
            <wp:extent cx="126984" cy="126984"/>
            <wp:effectExtent l="0" t="0" r="0" b="0"/>
            <wp:docPr id="100326" name="Picture 100326" descr="Health and Functional Sta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and Functional Status  </w:t>
      </w:r>
    </w:p>
    <w:p w14:paraId="69F4E9A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D4D91E5" wp14:editId="63E2D7F4">
            <wp:extent cx="126984" cy="126984"/>
            <wp:effectExtent l="0" t="0" r="0" b="0"/>
            <wp:docPr id="100328" name="Picture 100328" descr="Health and Functional Status: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and Functional Status: Change  </w:t>
      </w:r>
    </w:p>
    <w:p w14:paraId="73B4065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10839CB6" wp14:editId="241FA944">
            <wp:extent cx="126984" cy="126984"/>
            <wp:effectExtent l="0" t="0" r="0" b="0"/>
            <wp:docPr id="100330" name="Picture 100330" descr="Health and Functional Status: Nutr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and Functional Status: Nutrition  </w:t>
      </w:r>
    </w:p>
    <w:p w14:paraId="5C64995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DAD638D" wp14:editId="2FD10DDD">
            <wp:extent cx="126984" cy="126984"/>
            <wp:effectExtent l="0" t="0" r="0" b="0"/>
            <wp:docPr id="100332" name="Picture 100332" descr="Health and Functional Status: Obe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and Functional Status: Obesity  </w:t>
      </w:r>
    </w:p>
    <w:p w14:paraId="1A5C699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20D91A9" wp14:editId="5D99A09D">
            <wp:extent cx="126984" cy="126984"/>
            <wp:effectExtent l="0" t="0" r="0" b="0"/>
            <wp:docPr id="100334" name="Picture 100334" descr="Health and Functional Status: Physical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and Functional Status: Physical Activity  </w:t>
      </w:r>
    </w:p>
    <w:p w14:paraId="664A9EE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9B384EC" wp14:editId="26FF3311">
            <wp:extent cx="126984" cy="126984"/>
            <wp:effectExtent l="0" t="0" r="0" b="0"/>
            <wp:docPr id="100336" name="Picture 100336" descr="Health and Functional Status: Quality of 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and Functional Status: Quality of Life  </w:t>
      </w:r>
    </w:p>
    <w:p w14:paraId="57BF5C8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756EB25" wp14:editId="4C87A75C">
            <wp:extent cx="126984" cy="126984"/>
            <wp:effectExtent l="0" t="0" r="0" b="0"/>
            <wp:docPr id="100338" name="Picture 100338" descr="Health and Functional Status: Total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and Functional Status: Total Health  </w:t>
      </w:r>
    </w:p>
    <w:p w14:paraId="634DD25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B2C41C0" wp14:editId="3BE3279C">
            <wp:extent cx="126984" cy="126984"/>
            <wp:effectExtent l="0" t="0" r="0" b="0"/>
            <wp:docPr id="100340" name="Picture 100340" descr="Immu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Immunization  </w:t>
      </w:r>
    </w:p>
    <w:p w14:paraId="3B8AC33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47362BE" wp14:editId="299FC90C">
            <wp:extent cx="126984" cy="126984"/>
            <wp:effectExtent l="0" t="0" r="0" b="0"/>
            <wp:docPr id="100342" name="Picture 100342"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556F377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1F0A9C6" wp14:editId="38ADF7A8">
            <wp:extent cx="126984" cy="126984"/>
            <wp:effectExtent l="0" t="0" r="0" b="0"/>
            <wp:docPr id="100344" name="Picture 100344" descr="Person-and Family-Centered Care: Person-and Family-Centered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Person-and Family-Centered Care: Person-and Family-Centered Care  </w:t>
      </w:r>
    </w:p>
    <w:p w14:paraId="26AFDC6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502C313" wp14:editId="5602579D">
            <wp:extent cx="126984" cy="126984"/>
            <wp:effectExtent l="0" t="0" r="0" b="0"/>
            <wp:docPr id="100346" name="Picture 100346" descr="Person-and Family-Centered Care: Workfo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Person-and Family-Centered Care: Workforce  </w:t>
      </w:r>
    </w:p>
    <w:p w14:paraId="43A7EF4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2E80637" wp14:editId="0A434034">
            <wp:extent cx="126984" cy="126984"/>
            <wp:effectExtent l="0" t="0" r="0" b="0"/>
            <wp:docPr id="100348" name="Picture 100348" descr="Primary Prev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Primary Prevention  </w:t>
      </w:r>
    </w:p>
    <w:p w14:paraId="1C94558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102C4A9" wp14:editId="723F62F4">
            <wp:extent cx="126984" cy="126984"/>
            <wp:effectExtent l="0" t="0" r="0" b="0"/>
            <wp:docPr id="100350" name="Picture 100350" descr="Primary Prevention: Nutr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Primary Prevention: Nutrition  </w:t>
      </w:r>
    </w:p>
    <w:p w14:paraId="01A2263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4C42980" wp14:editId="7478B48A">
            <wp:extent cx="126984" cy="126984"/>
            <wp:effectExtent l="0" t="0" r="0" b="0"/>
            <wp:docPr id="100352" name="Picture 100352" descr="Primary Prevention: Tobacco 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Primary Prevention: Tobacco Use  </w:t>
      </w:r>
    </w:p>
    <w:p w14:paraId="44A0BD5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5B3164E" wp14:editId="526B980F">
            <wp:extent cx="126984" cy="126984"/>
            <wp:effectExtent l="0" t="0" r="0" b="0"/>
            <wp:docPr id="100354" name="Picture 100354" descr="Saf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Safety  </w:t>
      </w:r>
    </w:p>
    <w:p w14:paraId="658D40C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4B55C9B" wp14:editId="3CAE6207">
            <wp:extent cx="126984" cy="126984"/>
            <wp:effectExtent l="0" t="0" r="0" b="0"/>
            <wp:docPr id="100356" name="Picture 100356" descr="Safety: Compl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Safety: Complications  </w:t>
      </w:r>
    </w:p>
    <w:p w14:paraId="76FBB74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8F37778" wp14:editId="7F3AF0A9">
            <wp:extent cx="126984" cy="126984"/>
            <wp:effectExtent l="0" t="0" r="0" b="0"/>
            <wp:docPr id="100358" name="Picture 100358" descr="Safety: Healthcare Associated Inf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Safety: Healthcare Associated Infections  </w:t>
      </w:r>
    </w:p>
    <w:p w14:paraId="31B2676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32F7AD5" wp14:editId="1F88058A">
            <wp:extent cx="126984" cy="126984"/>
            <wp:effectExtent l="0" t="0" r="0" b="0"/>
            <wp:docPr id="100360" name="Picture 100360" descr="Safety: Med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Safety: Medication  </w:t>
      </w:r>
    </w:p>
    <w:p w14:paraId="24366B3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0492F89" wp14:editId="52B181A5">
            <wp:extent cx="126984" cy="126984"/>
            <wp:effectExtent l="0" t="0" r="0" b="0"/>
            <wp:docPr id="100362" name="Picture 100362" descr="Safety: Over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Safety: Overuse  </w:t>
      </w:r>
    </w:p>
    <w:p w14:paraId="56BC9DD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EC77FD6" wp14:editId="46804055">
            <wp:extent cx="126984" cy="126984"/>
            <wp:effectExtent l="0" t="0" r="0" b="0"/>
            <wp:docPr id="100364" name="Picture 100364" descr="Scre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Screening  </w:t>
      </w:r>
    </w:p>
    <w:p w14:paraId="1CFFE7B2" w14:textId="77777777" w:rsidR="00A77B3E" w:rsidRDefault="00A77B3E">
      <w:pPr>
        <w:spacing w:after="240"/>
        <w:rPr>
          <w:rFonts w:ascii="Calibri" w:eastAsia="Calibri" w:hAnsi="Calibri" w:cs="Calibri"/>
          <w:color w:val="000000"/>
          <w:sz w:val="22"/>
        </w:rPr>
      </w:pPr>
    </w:p>
    <w:p w14:paraId="2068600C"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sp.06) Select one or more target population categories.</w:t>
      </w:r>
    </w:p>
    <w:p w14:paraId="5F3971AB"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Select only those target populations which can be stratified in the reporting of the measure's result.</w:t>
      </w:r>
    </w:p>
    <w:p w14:paraId="39CA87A3"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Please refrain from selecting the following answer option(s). We are in the process of phasing out these answer options and request that you instead select one of the other answer options as they apply to your measure.</w:t>
      </w:r>
    </w:p>
    <w:p w14:paraId="29C23BE0"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Please do not select:</w:t>
      </w:r>
    </w:p>
    <w:p w14:paraId="1B7FDB0A" w14:textId="77777777" w:rsidR="00A77B3E" w:rsidRDefault="00000000">
      <w:pPr>
        <w:numPr>
          <w:ilvl w:val="0"/>
          <w:numId w:val="2"/>
        </w:numPr>
        <w:spacing w:after="240"/>
        <w:rPr>
          <w:rFonts w:ascii="Calibri" w:eastAsia="Calibri" w:hAnsi="Calibri" w:cs="Calibri"/>
          <w:i/>
          <w:color w:val="000000"/>
          <w:sz w:val="22"/>
        </w:rPr>
      </w:pPr>
      <w:r>
        <w:rPr>
          <w:rFonts w:ascii="Calibri" w:eastAsia="Calibri" w:hAnsi="Calibri" w:cs="Calibri"/>
          <w:i/>
          <w:color w:val="000000"/>
          <w:sz w:val="22"/>
        </w:rPr>
        <w:t>Populations at Risk: Populations at Risk</w:t>
      </w:r>
    </w:p>
    <w:p w14:paraId="1302E03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4130E601" wp14:editId="0BF48823">
            <wp:extent cx="126984" cy="126984"/>
            <wp:effectExtent l="0" t="0" r="0" b="0"/>
            <wp:docPr id="100366" name="Picture 100366" descr="Adults (Age &g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Adults (Age &gt;= 18)  </w:t>
      </w:r>
    </w:p>
    <w:p w14:paraId="706109D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F175D0A" wp14:editId="7E59168E">
            <wp:extent cx="126984" cy="126984"/>
            <wp:effectExtent l="0" t="0" r="0" b="0"/>
            <wp:docPr id="100368" name="Picture 100368" descr="Children (Age &l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9"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Children (Age &lt; 18)  </w:t>
      </w:r>
    </w:p>
    <w:p w14:paraId="55C3E8E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AC34231" wp14:editId="6FCF2E56">
            <wp:extent cx="126984" cy="126984"/>
            <wp:effectExtent l="0" t="0" r="0" b="0"/>
            <wp:docPr id="100370" name="Picture 100370" descr="Elderly (Age &gt;=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Elderly (Age &gt;= 65)  </w:t>
      </w:r>
    </w:p>
    <w:p w14:paraId="57CAD7B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A317F97" wp14:editId="57F8C8DA">
            <wp:extent cx="126984" cy="126984"/>
            <wp:effectExtent l="0" t="0" r="0" b="0"/>
            <wp:docPr id="100372" name="Picture 100372" descr="Populations at Risk: Dual eligible beneficiaries of Medicare and Medica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Populations at Risk: Dual eligible beneficiaries of Medicare and Medicaid  </w:t>
      </w:r>
    </w:p>
    <w:p w14:paraId="1BC31DC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E3E3CEA" wp14:editId="34B3E886">
            <wp:extent cx="126984" cy="126984"/>
            <wp:effectExtent l="0" t="0" r="0" b="0"/>
            <wp:docPr id="100374" name="Picture 100374" descr="Populations at Risk: Individuals with multiple chronic cond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Populations at Risk: Individuals with multiple chronic conditions  </w:t>
      </w:r>
    </w:p>
    <w:p w14:paraId="2759B33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4EC3EE8" wp14:editId="26364F81">
            <wp:extent cx="126984" cy="126984"/>
            <wp:effectExtent l="0" t="0" r="0" b="0"/>
            <wp:docPr id="100376" name="Picture 100376" descr="Populations at Risk: Populations at R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Populations at Risk: Populations at Risk  </w:t>
      </w:r>
    </w:p>
    <w:p w14:paraId="373CCB4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C94E035" wp14:editId="466A0AA6">
            <wp:extent cx="126984" cy="126984"/>
            <wp:effectExtent l="0" t="0" r="0" b="0"/>
            <wp:docPr id="100378" name="Picture 100378" descr="Populations at Risk: Vete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Populations at Risk: Veterans  </w:t>
      </w:r>
    </w:p>
    <w:p w14:paraId="324F202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D276163" wp14:editId="1AD00010">
            <wp:extent cx="126984" cy="126984"/>
            <wp:effectExtent l="0" t="0" r="0" b="0"/>
            <wp:docPr id="100380" name="Picture 100380" descr="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Women  </w:t>
      </w:r>
    </w:p>
    <w:p w14:paraId="209195AB" w14:textId="77777777" w:rsidR="00A77B3E" w:rsidRDefault="00A77B3E">
      <w:pPr>
        <w:spacing w:after="240"/>
        <w:rPr>
          <w:rFonts w:ascii="Calibri" w:eastAsia="Calibri" w:hAnsi="Calibri" w:cs="Calibri"/>
          <w:color w:val="000000"/>
          <w:sz w:val="22"/>
        </w:rPr>
      </w:pPr>
    </w:p>
    <w:p w14:paraId="0C27939F"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sp.07) Select the levels of analysis that apply to your measure.</w:t>
      </w:r>
    </w:p>
    <w:p w14:paraId="6556EDB6"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t>Check ONLY the levels of analysis for which the measure is SPECIFIED and TESTED.</w:t>
      </w:r>
    </w:p>
    <w:p w14:paraId="52EA4CBD"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Please refrain from selecting the following answer option(s). We are in the process of phasing out these answer options and request that you instead select one of the other answer options as they apply to your measure.</w:t>
      </w:r>
    </w:p>
    <w:p w14:paraId="018EBE8A"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Please do not select:</w:t>
      </w:r>
    </w:p>
    <w:p w14:paraId="5C30595F" w14:textId="77777777" w:rsidR="00A77B3E" w:rsidRDefault="00000000">
      <w:pPr>
        <w:numPr>
          <w:ilvl w:val="0"/>
          <w:numId w:val="3"/>
        </w:numPr>
        <w:spacing w:after="240"/>
        <w:rPr>
          <w:rFonts w:ascii="Calibri" w:eastAsia="Calibri" w:hAnsi="Calibri" w:cs="Calibri"/>
          <w:i/>
          <w:color w:val="000000"/>
          <w:sz w:val="22"/>
        </w:rPr>
      </w:pPr>
      <w:r>
        <w:rPr>
          <w:rFonts w:ascii="Calibri" w:eastAsia="Calibri" w:hAnsi="Calibri" w:cs="Calibri"/>
          <w:i/>
          <w:color w:val="000000"/>
          <w:sz w:val="22"/>
        </w:rPr>
        <w:t>Clinician: Clinician</w:t>
      </w:r>
    </w:p>
    <w:p w14:paraId="45E175EB" w14:textId="77777777" w:rsidR="00A77B3E" w:rsidRDefault="00000000">
      <w:pPr>
        <w:numPr>
          <w:ilvl w:val="0"/>
          <w:numId w:val="3"/>
        </w:numPr>
        <w:spacing w:after="240"/>
        <w:rPr>
          <w:rFonts w:ascii="Calibri" w:eastAsia="Calibri" w:hAnsi="Calibri" w:cs="Calibri"/>
          <w:i/>
          <w:color w:val="000000"/>
          <w:sz w:val="22"/>
        </w:rPr>
      </w:pPr>
      <w:r>
        <w:rPr>
          <w:rFonts w:ascii="Calibri" w:eastAsia="Calibri" w:hAnsi="Calibri" w:cs="Calibri"/>
          <w:i/>
          <w:color w:val="000000"/>
          <w:sz w:val="22"/>
        </w:rPr>
        <w:t>Population: Population</w:t>
      </w:r>
    </w:p>
    <w:p w14:paraId="7575869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89F2B46" wp14:editId="4D4BDE84">
            <wp:extent cx="126984" cy="126984"/>
            <wp:effectExtent l="0" t="0" r="0" b="0"/>
            <wp:docPr id="100382" name="Picture 100382" descr="Accountable Care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Accountable Care Organization  </w:t>
      </w:r>
    </w:p>
    <w:p w14:paraId="38B9675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2A44FBB" wp14:editId="2493BAB6">
            <wp:extent cx="126984" cy="126984"/>
            <wp:effectExtent l="0" t="0" r="0" b="0"/>
            <wp:docPr id="100384" name="Picture 100384" descr="Clinician: Clinic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Clinician: Clinician  </w:t>
      </w:r>
    </w:p>
    <w:p w14:paraId="3BBE1A4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26EA2AC" wp14:editId="7963700E">
            <wp:extent cx="126984" cy="126984"/>
            <wp:effectExtent l="0" t="0" r="0" b="0"/>
            <wp:docPr id="100386" name="Picture 100386" descr="Clinician: Group/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Clinician: Group/Practice  </w:t>
      </w:r>
    </w:p>
    <w:p w14:paraId="0703971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6CEC58A" wp14:editId="757D3418">
            <wp:extent cx="126984" cy="126984"/>
            <wp:effectExtent l="0" t="0" r="0" b="0"/>
            <wp:docPr id="100388" name="Picture 100388" descr="Clinician: Individ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Clinician: Individual  </w:t>
      </w:r>
    </w:p>
    <w:p w14:paraId="2FC86A7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F446B63" wp14:editId="5ED899BE">
            <wp:extent cx="126984" cy="126984"/>
            <wp:effectExtent l="0" t="0" r="0" b="0"/>
            <wp:docPr id="100390" name="Picture 100390" descr="Fac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Facility  </w:t>
      </w:r>
    </w:p>
    <w:p w14:paraId="36A9C6B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68EF3A1" wp14:editId="252526A8">
            <wp:extent cx="126984" cy="126984"/>
            <wp:effectExtent l="0" t="0" r="0" b="0"/>
            <wp:docPr id="100392" name="Picture 100392" descr="Health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Plan  </w:t>
      </w:r>
    </w:p>
    <w:p w14:paraId="2A38AEF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D48B33B" wp14:editId="09109AC1">
            <wp:extent cx="126984" cy="126984"/>
            <wp:effectExtent l="0" t="0" r="0" b="0"/>
            <wp:docPr id="100394" name="Picture 100394" descr="Integrated Delivery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Integrated Delivery System  </w:t>
      </w:r>
    </w:p>
    <w:p w14:paraId="5B9C65A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D0D9A0E" wp14:editId="6DDBF0E9">
            <wp:extent cx="126984" cy="126984"/>
            <wp:effectExtent l="0" t="0" r="0" b="0"/>
            <wp:docPr id="100396" name="Picture 100396" descr="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w:t>
      </w:r>
    </w:p>
    <w:p w14:paraId="19F4E5E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9B61514" wp14:editId="4953729D">
            <wp:extent cx="126984" cy="126984"/>
            <wp:effectExtent l="0" t="0" r="0" b="0"/>
            <wp:docPr id="100398" name="Picture 100398" descr="Population: Community, County or 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 Community, County or City  </w:t>
      </w:r>
    </w:p>
    <w:p w14:paraId="6323A84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2160BC6A" wp14:editId="1728FE02">
            <wp:extent cx="126984" cy="126984"/>
            <wp:effectExtent l="0" t="0" r="0" b="0"/>
            <wp:docPr id="100400" name="Picture 100400" descr="Population: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 Population  </w:t>
      </w:r>
    </w:p>
    <w:p w14:paraId="69FB86D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AA561DA" wp14:editId="55A7BAD7">
            <wp:extent cx="126984" cy="126984"/>
            <wp:effectExtent l="0" t="0" r="0" b="0"/>
            <wp:docPr id="100402" name="Picture 100402" descr="Population: Regional and 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 Regional and State  </w:t>
      </w:r>
    </w:p>
    <w:p w14:paraId="71706774" w14:textId="77777777" w:rsidR="00A77B3E" w:rsidRDefault="00A77B3E">
      <w:pPr>
        <w:spacing w:after="240"/>
        <w:rPr>
          <w:rFonts w:ascii="Calibri" w:eastAsia="Calibri" w:hAnsi="Calibri" w:cs="Calibri"/>
          <w:color w:val="000000"/>
          <w:sz w:val="22"/>
        </w:rPr>
      </w:pPr>
    </w:p>
    <w:p w14:paraId="003DB153"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sp.08) Indicate the care settings that apply to your measure.</w:t>
      </w:r>
    </w:p>
    <w:p w14:paraId="59C86B15"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Check ONLY the settings for which the measure is SPECIFIED and TESTED.</w:t>
      </w:r>
      <w:r>
        <w:rPr>
          <w:rFonts w:ascii="Calibri" w:eastAsia="Calibri" w:hAnsi="Calibri" w:cs="Calibri"/>
          <w:noProof/>
          <w:color w:val="000000"/>
          <w:sz w:val="22"/>
        </w:rPr>
        <w:drawing>
          <wp:inline distT="0" distB="0" distL="0" distR="0" wp14:anchorId="1EB7B15C" wp14:editId="081BD571">
            <wp:extent cx="126984" cy="126984"/>
            <wp:effectExtent l="0" t="0" r="0" b="0"/>
            <wp:docPr id="100404" name="Picture 100404" descr="Ambulatory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Ambulatory Care  </w:t>
      </w:r>
    </w:p>
    <w:p w14:paraId="78C0EBB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ED7FA50" wp14:editId="2EAA93A0">
            <wp:extent cx="126984" cy="126984"/>
            <wp:effectExtent l="0" t="0" r="0" b="0"/>
            <wp:docPr id="100406" name="Picture 100406" descr="Behavioral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Behavioral Health  </w:t>
      </w:r>
    </w:p>
    <w:p w14:paraId="1C204AC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0EE1C51" wp14:editId="29C13C4C">
            <wp:extent cx="126984" cy="126984"/>
            <wp:effectExtent l="0" t="0" r="0" b="0"/>
            <wp:docPr id="100408" name="Picture 100408" descr="Home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Home Care  </w:t>
      </w:r>
    </w:p>
    <w:p w14:paraId="1DE0EEF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5330686" wp14:editId="418E377E">
            <wp:extent cx="126984" cy="126984"/>
            <wp:effectExtent l="0" t="0" r="0" b="0"/>
            <wp:docPr id="100410" name="Picture 100410" descr="Inpatient/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Inpatient/Hospital  </w:t>
      </w:r>
    </w:p>
    <w:p w14:paraId="593D12B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7F3BD82" wp14:editId="2CB9EACF">
            <wp:extent cx="126984" cy="126984"/>
            <wp:effectExtent l="0" t="0" r="0" b="0"/>
            <wp:docPr id="100412" name="Picture 100412" descr="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w:t>
      </w:r>
    </w:p>
    <w:p w14:paraId="1703AFC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371E515" wp14:editId="736E4751">
            <wp:extent cx="126984" cy="126984"/>
            <wp:effectExtent l="0" t="0" r="0" b="0"/>
            <wp:docPr id="100414" name="Picture 100414" descr="Outpatient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Outpatient Services  </w:t>
      </w:r>
    </w:p>
    <w:p w14:paraId="037C239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8B2F5D2" wp14:editId="348D5BD2">
            <wp:extent cx="126984" cy="126984"/>
            <wp:effectExtent l="0" t="0" r="0" b="0"/>
            <wp:docPr id="100416" name="Picture 100416" descr="Post-Acute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Post-Acute Care  </w:t>
      </w:r>
    </w:p>
    <w:p w14:paraId="4C6E22B5" w14:textId="77777777" w:rsidR="00A77B3E" w:rsidRDefault="00A77B3E">
      <w:pPr>
        <w:spacing w:after="240"/>
        <w:rPr>
          <w:rFonts w:ascii="Calibri" w:eastAsia="Calibri" w:hAnsi="Calibri" w:cs="Calibri"/>
          <w:color w:val="000000"/>
          <w:sz w:val="22"/>
        </w:rPr>
      </w:pPr>
    </w:p>
    <w:p w14:paraId="3836653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sp.09) Provide a URL link to a web page specific for this measure that contains current detailed specifications including code lists, risk model details, and supplemental materials. </w:t>
      </w:r>
    </w:p>
    <w:p w14:paraId="19D54180"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Do not enter a URL linking to a home page or to general information. If no URL is available, indicate “none </w:t>
      </w:r>
      <w:proofErr w:type="spellStart"/>
      <w:r>
        <w:rPr>
          <w:rFonts w:ascii="Calibri" w:eastAsia="Calibri" w:hAnsi="Calibri" w:cs="Calibri"/>
          <w:i/>
          <w:iCs/>
          <w:color w:val="000000"/>
          <w:sz w:val="22"/>
        </w:rPr>
        <w:t>available".</w:t>
      </w:r>
      <w:r>
        <w:rPr>
          <w:rFonts w:ascii="Calibri" w:eastAsia="Calibri" w:hAnsi="Calibri" w:cs="Calibri"/>
          <w:color w:val="000000"/>
          <w:sz w:val="22"/>
        </w:rPr>
        <w:t>None</w:t>
      </w:r>
      <w:proofErr w:type="spellEnd"/>
      <w:r>
        <w:rPr>
          <w:rFonts w:ascii="Calibri" w:eastAsia="Calibri" w:hAnsi="Calibri" w:cs="Calibri"/>
          <w:color w:val="000000"/>
          <w:sz w:val="22"/>
        </w:rPr>
        <w:t xml:space="preserve"> available.</w:t>
      </w:r>
    </w:p>
    <w:p w14:paraId="253E9B86" w14:textId="77777777" w:rsidR="00A77B3E" w:rsidRDefault="00A77B3E">
      <w:pPr>
        <w:spacing w:after="240"/>
        <w:rPr>
          <w:rFonts w:ascii="Calibri" w:eastAsia="Calibri" w:hAnsi="Calibri" w:cs="Calibri"/>
          <w:color w:val="000000"/>
          <w:sz w:val="22"/>
        </w:rPr>
      </w:pPr>
    </w:p>
    <w:p w14:paraId="6DE13D37"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sp.12) Attach the data dictionary, code table, or value sets (and risk model codes and coefficients when applicable). Excel formats (.xlsx or .csv) are preferred.</w:t>
      </w:r>
    </w:p>
    <w:p w14:paraId="74F66981"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Attach an excel or csv file; if this poses an issue, </w:t>
      </w:r>
      <w:hyperlink r:id="rId18" w:history="1">
        <w:r>
          <w:rPr>
            <w:rFonts w:ascii="Calibri" w:eastAsia="Calibri" w:hAnsi="Calibri" w:cs="Calibri"/>
            <w:i/>
            <w:iCs/>
            <w:color w:val="0000FF"/>
            <w:sz w:val="22"/>
            <w:u w:val="single" w:color="0000FF"/>
          </w:rPr>
          <w:t>contact staff</w:t>
        </w:r>
      </w:hyperlink>
      <w:r>
        <w:rPr>
          <w:rFonts w:ascii="Calibri" w:eastAsia="Calibri" w:hAnsi="Calibri" w:cs="Calibri"/>
          <w:i/>
          <w:iCs/>
          <w:color w:val="000000"/>
          <w:sz w:val="22"/>
        </w:rPr>
        <w:t>. Provide descriptors for any codes. Use one file with multiple worksheets, if needed.</w:t>
      </w:r>
      <w:r>
        <w:rPr>
          <w:rFonts w:ascii="Calibri" w:eastAsia="Calibri" w:hAnsi="Calibri" w:cs="Calibri"/>
          <w:noProof/>
          <w:color w:val="000000"/>
          <w:sz w:val="22"/>
        </w:rPr>
        <w:drawing>
          <wp:inline distT="0" distB="0" distL="0" distR="0" wp14:anchorId="2E085BA9" wp14:editId="11B12A1B">
            <wp:extent cx="126984" cy="126984"/>
            <wp:effectExtent l="0" t="0" r="0" b="0"/>
            <wp:docPr id="100418" name="Picture 100418" descr="Available in attached Excel or csv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Available in attached Excel or csv file  </w:t>
      </w:r>
    </w:p>
    <w:p w14:paraId="2C3A63E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4A8FAC4" wp14:editId="71A90A71">
            <wp:extent cx="126984" cy="126984"/>
            <wp:effectExtent l="0" t="0" r="0" b="0"/>
            <wp:docPr id="100420" name="Picture 100420" descr="No data dictionary/code table – all information provided in the submiss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data dictionary/code table – all information provided in the submission form  </w:t>
      </w:r>
    </w:p>
    <w:p w14:paraId="5716D634" w14:textId="77777777" w:rsidR="00A77B3E" w:rsidRDefault="00A77B3E">
      <w:pPr>
        <w:spacing w:after="240"/>
        <w:rPr>
          <w:rFonts w:ascii="Calibri" w:eastAsia="Calibri" w:hAnsi="Calibri" w:cs="Calibri"/>
          <w:color w:val="000000"/>
          <w:sz w:val="22"/>
        </w:rPr>
      </w:pPr>
    </w:p>
    <w:p w14:paraId="2224617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For the question below: state the outcome being measured. Calculation of the risk-adjusted outcome should be described in sp.22.</w:t>
      </w:r>
    </w:p>
    <w:p w14:paraId="68BB93CD"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sp.13) State the numerator.</w:t>
      </w:r>
    </w:p>
    <w:p w14:paraId="7F22188E"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t>Brief, narrative description of the measure focus or what is being measured about the target population, i.e., cases from the target population with the target process, condition, event, or outcome).</w:t>
      </w:r>
    </w:p>
    <w:p w14:paraId="5A14EDCE"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lastRenderedPageBreak/>
        <w:t>DO NOT include the rationale for the measure.</w:t>
      </w:r>
    </w:p>
    <w:p w14:paraId="6FF3D92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Number of prevalent dialysis patients in the practitioner group listed on the kidney or kidney-pancreas transplant waitlist or who received living donor transplants within each calendar year.</w:t>
      </w:r>
    </w:p>
    <w:p w14:paraId="78DF1E95" w14:textId="77777777" w:rsidR="00A77B3E" w:rsidRDefault="00A77B3E">
      <w:pPr>
        <w:spacing w:after="240"/>
        <w:rPr>
          <w:rFonts w:ascii="Calibri" w:eastAsia="Calibri" w:hAnsi="Calibri" w:cs="Calibri"/>
          <w:color w:val="000000"/>
          <w:sz w:val="22"/>
        </w:rPr>
      </w:pPr>
    </w:p>
    <w:p w14:paraId="22A543E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For the question below: describe how the observed outcome is identified/counted. Calculation of the risk-adjusted outcome should be described in sp.22.</w:t>
      </w:r>
    </w:p>
    <w:p w14:paraId="392B9013"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sp.14) Provide details needed to calculate the numerator.</w:t>
      </w:r>
    </w:p>
    <w:p w14:paraId="5742EC7D"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t>All information required to identify and calculate the cases from the target population with the target process, condition, event, or outcome such as definitions, time period for data collection, specific data collection items/responses, code/value sets.</w:t>
      </w:r>
    </w:p>
    <w:p w14:paraId="3D774B1B"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t>Note: lists of individual codes with descriptors that exceed 1 page should be provided in an Excel or csv file in required format at sp.11.</w:t>
      </w:r>
    </w:p>
    <w:p w14:paraId="2489208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Organ Procurement and Transplant Network (OPTN) Kidney or Kidney-Pancreas waitlist or transplant dates populated during the period with the assigned practitioner group. Specifically, date of listing on the kidney or kidney-Pancreas transplant waitlist from OPTN and date of receiving a living donor transplant from OPTN, Form 2728, and Claims are used to identify the event happening during the period with the assigned practitioner group.</w:t>
      </w:r>
    </w:p>
    <w:p w14:paraId="3BB1AD17" w14:textId="77777777" w:rsidR="00A77B3E" w:rsidRDefault="00A77B3E">
      <w:pPr>
        <w:spacing w:after="240"/>
        <w:rPr>
          <w:rFonts w:ascii="Calibri" w:eastAsia="Calibri" w:hAnsi="Calibri" w:cs="Calibri"/>
          <w:color w:val="000000"/>
          <w:sz w:val="22"/>
        </w:rPr>
      </w:pPr>
    </w:p>
    <w:p w14:paraId="2A4A213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For the question below: state the target population for the outcome. Calculation of the risk-adjusted outcome should be described in sp.22.</w:t>
      </w:r>
    </w:p>
    <w:p w14:paraId="78E967B0"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sp.15) State the denominator.</w:t>
      </w:r>
    </w:p>
    <w:p w14:paraId="2D3BBEEE"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Brief, narrative description of the target population being </w:t>
      </w:r>
      <w:proofErr w:type="spellStart"/>
      <w:r>
        <w:rPr>
          <w:rFonts w:ascii="Calibri" w:eastAsia="Calibri" w:hAnsi="Calibri" w:cs="Calibri"/>
          <w:i/>
          <w:iCs/>
          <w:color w:val="000000"/>
          <w:sz w:val="22"/>
        </w:rPr>
        <w:t>measured.</w:t>
      </w:r>
      <w:r>
        <w:rPr>
          <w:rFonts w:ascii="Calibri" w:eastAsia="Calibri" w:hAnsi="Calibri" w:cs="Calibri"/>
          <w:color w:val="000000"/>
          <w:sz w:val="22"/>
        </w:rPr>
        <w:t>The</w:t>
      </w:r>
      <w:proofErr w:type="spellEnd"/>
      <w:r>
        <w:rPr>
          <w:rFonts w:ascii="Calibri" w:eastAsia="Calibri" w:hAnsi="Calibri" w:cs="Calibri"/>
          <w:color w:val="000000"/>
          <w:sz w:val="22"/>
        </w:rPr>
        <w:t xml:space="preserve"> denominator for the PSWR is the expected number of waitlist or living donor transplant events in the practitioner group according to each patient’s treatment history, adjusted for patient age, incident and prevalent comorbidities, previous waitlisting and transplant, dual eligibility, Area Deprivation Index (ADI), and transplant center characteristics, among patients under 75 years of age.</w:t>
      </w:r>
    </w:p>
    <w:p w14:paraId="68186AD4" w14:textId="77777777" w:rsidR="00A77B3E" w:rsidRDefault="00A77B3E">
      <w:pPr>
        <w:spacing w:after="240"/>
        <w:rPr>
          <w:rFonts w:ascii="Calibri" w:eastAsia="Calibri" w:hAnsi="Calibri" w:cs="Calibri"/>
          <w:color w:val="000000"/>
          <w:sz w:val="22"/>
        </w:rPr>
      </w:pPr>
    </w:p>
    <w:p w14:paraId="0BC733F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For the question below: describe how the target population is identified. Calculation of the risk-adjusted outcome should be described in sp.22.</w:t>
      </w:r>
    </w:p>
    <w:p w14:paraId="74214240"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sp.16) Provide details needed to calculate the denominator.</w:t>
      </w:r>
    </w:p>
    <w:p w14:paraId="3AF781F1"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t>All information required to identify and calculate the target population/denominator such as definitions, time period for data collection, specific data collection items/responses, code/value sets.</w:t>
      </w:r>
    </w:p>
    <w:p w14:paraId="4440DB95"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lastRenderedPageBreak/>
        <w:t>Note: lists of individual codes with descriptors that exceed 1 page should be provided in an Excel or csv file in required format at sp.11.</w:t>
      </w:r>
    </w:p>
    <w:p w14:paraId="0734C59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During the target period for eligible Medicare ESRD dialysis patients, Medicare physician claims were used to identify 1) the individual dialysis practitioner that received the monthly capitation payment (MCP) and 2) the dialysis group practice identifier to which that practitioner belongs. Tax identification numbers (TINs) are used to identify the dialysis practitioner group practices on Medicare physician claims. For each period, the patient was assigned to the practitioner, and in turn to that dialysis practitioner’s group practice, which as a whole provided dialysis services with the most face-to-face interaction, according to the Healthcare Common Procedure Coding System (HCPCS) codes. Both TIN and MCP present on the physician claims. We do not distinguish in person claims or not.</w:t>
      </w:r>
    </w:p>
    <w:p w14:paraId="0E8CD8E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Monthly capitation payment HCPCS codes included are the following: 90951, 90952, 90953, 90954, 90955, 90956, 90957, 90958, 90959, 90960, 90961, 90962, 90963, 90964, 90965, 90966. Information regarding first ESRD service date, modality, death, waitlist status, and transplant are obtained from Medicare claims, EQRS, Organ Procurement and Transplant Network (OPTN), and the Social Security Death Master File.</w:t>
      </w:r>
    </w:p>
    <w:p w14:paraId="4C699505" w14:textId="77777777" w:rsidR="00A77B3E" w:rsidRDefault="00A77B3E">
      <w:pPr>
        <w:spacing w:after="240"/>
        <w:rPr>
          <w:rFonts w:ascii="Calibri" w:eastAsia="Calibri" w:hAnsi="Calibri" w:cs="Calibri"/>
          <w:color w:val="000000"/>
          <w:sz w:val="22"/>
        </w:rPr>
      </w:pPr>
    </w:p>
    <w:p w14:paraId="0986B3C4" w14:textId="77777777" w:rsidR="00A77B3E" w:rsidRDefault="00A77B3E">
      <w:pPr>
        <w:spacing w:after="240"/>
        <w:rPr>
          <w:rFonts w:ascii="Calibri" w:eastAsia="Calibri" w:hAnsi="Calibri" w:cs="Calibri"/>
          <w:color w:val="000000"/>
          <w:sz w:val="22"/>
        </w:rPr>
      </w:pPr>
    </w:p>
    <w:p w14:paraId="0FAB1C9B"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sp.17) Describe the denominator exclusions.</w:t>
      </w:r>
    </w:p>
    <w:p w14:paraId="327514D7"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Brief narrative description of exclusions from the target population.</w:t>
      </w:r>
    </w:p>
    <w:p w14:paraId="50AD4E3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Patients with the below conditions are excluded from the measure:</w:t>
      </w:r>
    </w:p>
    <w:p w14:paraId="239EE3E9" w14:textId="77777777" w:rsidR="00A77B3E" w:rsidRDefault="00000000">
      <w:pPr>
        <w:numPr>
          <w:ilvl w:val="0"/>
          <w:numId w:val="4"/>
        </w:numPr>
        <w:spacing w:after="240"/>
        <w:rPr>
          <w:rFonts w:ascii="Calibri" w:eastAsia="Calibri" w:hAnsi="Calibri" w:cs="Calibri"/>
          <w:color w:val="000000"/>
          <w:sz w:val="22"/>
        </w:rPr>
      </w:pPr>
      <w:r>
        <w:rPr>
          <w:rFonts w:ascii="Calibri" w:eastAsia="Calibri" w:hAnsi="Calibri" w:cs="Calibri"/>
          <w:color w:val="000000"/>
          <w:sz w:val="22"/>
        </w:rPr>
        <w:t>Patients were excluded when turning 75.</w:t>
      </w:r>
    </w:p>
    <w:p w14:paraId="219A1725" w14:textId="77777777" w:rsidR="00A77B3E" w:rsidRDefault="00000000">
      <w:pPr>
        <w:numPr>
          <w:ilvl w:val="0"/>
          <w:numId w:val="4"/>
        </w:numPr>
        <w:spacing w:after="240"/>
        <w:rPr>
          <w:rFonts w:ascii="Calibri" w:eastAsia="Calibri" w:hAnsi="Calibri" w:cs="Calibri"/>
          <w:color w:val="000000"/>
          <w:sz w:val="22"/>
        </w:rPr>
      </w:pPr>
      <w:r>
        <w:rPr>
          <w:rFonts w:ascii="Calibri" w:eastAsia="Calibri" w:hAnsi="Calibri" w:cs="Calibri"/>
          <w:color w:val="000000"/>
          <w:sz w:val="22"/>
        </w:rPr>
        <w:t>Patients who were admitted to a skilled nursing facility (SNF) were excluded from that period.</w:t>
      </w:r>
    </w:p>
    <w:p w14:paraId="2F76B471" w14:textId="77777777" w:rsidR="00A77B3E" w:rsidRDefault="00000000">
      <w:pPr>
        <w:numPr>
          <w:ilvl w:val="0"/>
          <w:numId w:val="4"/>
        </w:numPr>
        <w:spacing w:after="240"/>
        <w:rPr>
          <w:rFonts w:ascii="Calibri" w:eastAsia="Calibri" w:hAnsi="Calibri" w:cs="Calibri"/>
          <w:color w:val="000000"/>
          <w:sz w:val="22"/>
        </w:rPr>
      </w:pPr>
      <w:r>
        <w:rPr>
          <w:rFonts w:ascii="Calibri" w:eastAsia="Calibri" w:hAnsi="Calibri" w:cs="Calibri"/>
          <w:color w:val="000000"/>
          <w:sz w:val="22"/>
        </w:rPr>
        <w:t>Patients were excluded if determined to be in hospice in the prior 365 days </w:t>
      </w:r>
    </w:p>
    <w:p w14:paraId="77F53042" w14:textId="77777777" w:rsidR="00A77B3E" w:rsidRDefault="00000000">
      <w:pPr>
        <w:numPr>
          <w:ilvl w:val="0"/>
          <w:numId w:val="4"/>
        </w:numPr>
        <w:spacing w:after="240"/>
        <w:rPr>
          <w:rFonts w:ascii="Calibri" w:eastAsia="Calibri" w:hAnsi="Calibri" w:cs="Calibri"/>
          <w:color w:val="000000"/>
          <w:sz w:val="22"/>
        </w:rPr>
      </w:pPr>
      <w:r>
        <w:rPr>
          <w:rFonts w:ascii="Calibri" w:eastAsia="Calibri" w:hAnsi="Calibri" w:cs="Calibri"/>
          <w:color w:val="000000"/>
          <w:sz w:val="22"/>
        </w:rPr>
        <w:t>Patients with dementia</w:t>
      </w:r>
    </w:p>
    <w:p w14:paraId="144952A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noted exclusions represent conditions for which transplant waitlist candidacy is highly unlikely, and which can be identified readily with available data.</w:t>
      </w:r>
    </w:p>
    <w:p w14:paraId="5BF5BD0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Patients who were attributed to dialysis practitioner groups with fewer than 11 patients or 2 expected events are not excluded from the measure. If a provider </w:t>
      </w:r>
      <w:proofErr w:type="spellStart"/>
      <w:r>
        <w:rPr>
          <w:rFonts w:ascii="Calibri" w:eastAsia="Calibri" w:hAnsi="Calibri" w:cs="Calibri"/>
          <w:color w:val="000000"/>
          <w:sz w:val="22"/>
        </w:rPr>
        <w:t>can not</w:t>
      </w:r>
      <w:proofErr w:type="spellEnd"/>
      <w:r>
        <w:rPr>
          <w:rFonts w:ascii="Calibri" w:eastAsia="Calibri" w:hAnsi="Calibri" w:cs="Calibri"/>
          <w:color w:val="000000"/>
          <w:sz w:val="22"/>
        </w:rPr>
        <w:t xml:space="preserve"> be matched to a TIN, patients will be grouped into a separate ‘null’ TIN and still included in the models, but are not summarized to any valid individual TINs. All patients who meet the denominator inclusion criteria are included and used to model a given dialysis practitioner group’s expected waitlist rate. If a dialysis practitioner group has fewer than 11 patients or 2 expected events, then the dialysis practitioner group is excluded from reporting outcomes.</w:t>
      </w:r>
    </w:p>
    <w:p w14:paraId="7D62350C" w14:textId="77777777" w:rsidR="00A77B3E" w:rsidRDefault="00A77B3E">
      <w:pPr>
        <w:spacing w:after="240"/>
        <w:rPr>
          <w:rFonts w:ascii="Calibri" w:eastAsia="Calibri" w:hAnsi="Calibri" w:cs="Calibri"/>
          <w:color w:val="000000"/>
          <w:sz w:val="22"/>
        </w:rPr>
      </w:pPr>
    </w:p>
    <w:p w14:paraId="3B99F656" w14:textId="77777777" w:rsidR="00A77B3E" w:rsidRDefault="00A77B3E">
      <w:pPr>
        <w:spacing w:after="240"/>
        <w:rPr>
          <w:rFonts w:ascii="Calibri" w:eastAsia="Calibri" w:hAnsi="Calibri" w:cs="Calibri"/>
          <w:color w:val="000000"/>
          <w:sz w:val="22"/>
        </w:rPr>
      </w:pPr>
    </w:p>
    <w:p w14:paraId="1C8C0727"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sp.18) Provide details needed to calculate the denominator exclusions.</w:t>
      </w:r>
    </w:p>
    <w:p w14:paraId="42FB28B4"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All information required to identify and calculate exclusions from the denominator such as definitions, time period for data collection, specific data collection items/responses, code/value sets – Note: lists of individual codes with descriptors that exceed 1 page should be provided in an Excel or csv file in required format at sp.11.</w:t>
      </w:r>
    </w:p>
    <w:p w14:paraId="38554A7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Nursing Home Minimum Dataset was used to identify patients in skilled nursing facilities. For hospice patients, a separate CMS file that contains final action claims submitted by hospice providers during the past 365 days was used to determine the hospice status.</w:t>
      </w:r>
    </w:p>
    <w:p w14:paraId="3B15D51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In addition, we used Agency for Healthcare Research and Quality (AHRQ) Clinical Classifications Software (CCS) diagnosis categories for prevalent comorbidity selection, including dementia. Patients with evidence of dementia in the prior year were excluded from analysis.</w:t>
      </w:r>
    </w:p>
    <w:p w14:paraId="4F9C15B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Please refer to the attached data dictionary for more details about the data source, as well as the ICD 10 codes for prevalent comorbidity conditions including dementia.</w:t>
      </w:r>
    </w:p>
    <w:p w14:paraId="31F8EE56" w14:textId="77777777" w:rsidR="00A77B3E" w:rsidRDefault="00A77B3E">
      <w:pPr>
        <w:spacing w:after="240"/>
        <w:rPr>
          <w:rFonts w:ascii="Calibri" w:eastAsia="Calibri" w:hAnsi="Calibri" w:cs="Calibri"/>
          <w:color w:val="000000"/>
          <w:sz w:val="22"/>
        </w:rPr>
      </w:pPr>
    </w:p>
    <w:p w14:paraId="35DC1436" w14:textId="77777777" w:rsidR="00A77B3E" w:rsidRDefault="00A77B3E">
      <w:pPr>
        <w:spacing w:after="240"/>
        <w:rPr>
          <w:rFonts w:ascii="Calibri" w:eastAsia="Calibri" w:hAnsi="Calibri" w:cs="Calibri"/>
          <w:color w:val="000000"/>
          <w:sz w:val="22"/>
        </w:rPr>
      </w:pPr>
    </w:p>
    <w:p w14:paraId="5700339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sp.19) Provide all information required to stratify the measure results, if necessary.</w:t>
      </w:r>
    </w:p>
    <w:p w14:paraId="3DC7BE69"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Include the stratification variables, definitions, specific data collection items/responses, code/value sets, and the risk-model covariates and coefficients for the clinically-adjusted version of the measure when appropriate. Note: lists of individual codes with descriptors that exceed 1 page should be provided in an Excel or csv file in required format in the Data Dictionary </w:t>
      </w:r>
      <w:proofErr w:type="spellStart"/>
      <w:r>
        <w:rPr>
          <w:rFonts w:ascii="Calibri" w:eastAsia="Calibri" w:hAnsi="Calibri" w:cs="Calibri"/>
          <w:i/>
          <w:iCs/>
          <w:color w:val="000000"/>
          <w:sz w:val="22"/>
        </w:rPr>
        <w:t>field.</w:t>
      </w:r>
      <w:r>
        <w:rPr>
          <w:rFonts w:ascii="Calibri" w:eastAsia="Calibri" w:hAnsi="Calibri" w:cs="Calibri"/>
          <w:color w:val="000000"/>
          <w:sz w:val="22"/>
        </w:rPr>
        <w:t>N</w:t>
      </w:r>
      <w:proofErr w:type="spellEnd"/>
      <w:r>
        <w:rPr>
          <w:rFonts w:ascii="Calibri" w:eastAsia="Calibri" w:hAnsi="Calibri" w:cs="Calibri"/>
          <w:color w:val="000000"/>
          <w:sz w:val="22"/>
        </w:rPr>
        <w:t>/A</w:t>
      </w:r>
    </w:p>
    <w:p w14:paraId="32E08F79" w14:textId="77777777" w:rsidR="00A77B3E" w:rsidRDefault="00A77B3E">
      <w:pPr>
        <w:spacing w:after="240"/>
        <w:rPr>
          <w:rFonts w:ascii="Calibri" w:eastAsia="Calibri" w:hAnsi="Calibri" w:cs="Calibri"/>
          <w:color w:val="000000"/>
          <w:sz w:val="22"/>
        </w:rPr>
      </w:pPr>
    </w:p>
    <w:p w14:paraId="6BECD9D0"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sp.20) Is this measure adjusted for socioeconomic status (SES)?</w:t>
      </w:r>
    </w:p>
    <w:p w14:paraId="786CFDF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D0277B3" wp14:editId="62B70889">
            <wp:extent cx="126984" cy="126984"/>
            <wp:effectExtent l="0" t="0" r="0" b="0"/>
            <wp:docPr id="100422" name="Picture 100422" descr="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Yes  </w:t>
      </w:r>
    </w:p>
    <w:p w14:paraId="0858D5D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2CF4903" wp14:editId="0530B862">
            <wp:extent cx="126984" cy="126984"/>
            <wp:effectExtent l="0" t="0" r="0" b="0"/>
            <wp:docPr id="100424" name="Picture 100424" desc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w:t>
      </w:r>
    </w:p>
    <w:p w14:paraId="530F4CA0" w14:textId="77777777" w:rsidR="00A77B3E" w:rsidRDefault="00A77B3E">
      <w:pPr>
        <w:spacing w:after="240"/>
        <w:rPr>
          <w:rFonts w:ascii="Calibri" w:eastAsia="Calibri" w:hAnsi="Calibri" w:cs="Calibri"/>
          <w:color w:val="000000"/>
          <w:sz w:val="22"/>
        </w:rPr>
      </w:pPr>
    </w:p>
    <w:p w14:paraId="0CFB7B9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sp.21) Select the risk adjustment type.</w:t>
      </w:r>
    </w:p>
    <w:p w14:paraId="26C0B45C"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Select type. Provide specifications for risk stratification and/or risk models in the Scientific Acceptability section.</w:t>
      </w:r>
      <w:r>
        <w:rPr>
          <w:rFonts w:ascii="Calibri" w:eastAsia="Calibri" w:hAnsi="Calibri" w:cs="Calibri"/>
          <w:noProof/>
          <w:color w:val="000000"/>
          <w:sz w:val="22"/>
        </w:rPr>
        <w:drawing>
          <wp:inline distT="0" distB="0" distL="0" distR="0" wp14:anchorId="391E353C" wp14:editId="56ED0A06">
            <wp:extent cx="126984" cy="126984"/>
            <wp:effectExtent l="0" t="0" r="0" b="0"/>
            <wp:docPr id="100426" name="Picture 100426" descr="No risk adjustment or risk stra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risk adjustment or risk stratification  </w:t>
      </w:r>
    </w:p>
    <w:p w14:paraId="49D3EDD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EA6701B" wp14:editId="3227932D">
            <wp:extent cx="126984" cy="126984"/>
            <wp:effectExtent l="0" t="0" r="0" b="0"/>
            <wp:docPr id="100428" name="Picture 100428" descr="Statistical risk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Statistical risk model  </w:t>
      </w:r>
    </w:p>
    <w:p w14:paraId="6258F2D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345F73F" wp14:editId="1E2AF3D2">
            <wp:extent cx="126984" cy="126984"/>
            <wp:effectExtent l="0" t="0" r="0" b="0"/>
            <wp:docPr id="100430" name="Picture 100430" descr="Stratification by risk category/subgroup (specify number of risk fa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Stratification by risk category/subgroup (specify number of risk factors)  </w:t>
      </w:r>
    </w:p>
    <w:p w14:paraId="09697E8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70D88126" wp14:editId="3CDF820C">
            <wp:extent cx="126984" cy="126984"/>
            <wp:effectExtent l="0" t="0" r="0" b="0"/>
            <wp:docPr id="100432" name="Picture 100432" descr="Other approach to address risk factors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3"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approach to address risk factors (specify)  </w:t>
      </w:r>
    </w:p>
    <w:p w14:paraId="2F28832C" w14:textId="77777777" w:rsidR="00A77B3E" w:rsidRDefault="00A77B3E">
      <w:pPr>
        <w:spacing w:after="240"/>
        <w:rPr>
          <w:rFonts w:ascii="Calibri" w:eastAsia="Calibri" w:hAnsi="Calibri" w:cs="Calibri"/>
          <w:color w:val="000000"/>
          <w:sz w:val="22"/>
        </w:rPr>
      </w:pPr>
    </w:p>
    <w:p w14:paraId="403CFF4F"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sp.22) Select the most relevant type of score.</w:t>
      </w:r>
    </w:p>
    <w:p w14:paraId="7F1B48BF"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t>Attachment: If available, please provide a sample report.</w:t>
      </w:r>
      <w:r>
        <w:rPr>
          <w:rFonts w:ascii="Calibri" w:eastAsia="Calibri" w:hAnsi="Calibri" w:cs="Calibri"/>
          <w:noProof/>
          <w:color w:val="000000"/>
          <w:sz w:val="22"/>
        </w:rPr>
        <w:drawing>
          <wp:inline distT="0" distB="0" distL="0" distR="0" wp14:anchorId="658CC7EB" wp14:editId="64DE8019">
            <wp:extent cx="126984" cy="126984"/>
            <wp:effectExtent l="0" t="0" r="0" b="0"/>
            <wp:docPr id="100434" name="Picture 100434" descr="Categorical, e.g., yes/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Categorical, e.g., yes/no  </w:t>
      </w:r>
    </w:p>
    <w:p w14:paraId="54C2B96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6E53758" wp14:editId="6288F2E6">
            <wp:extent cx="126984" cy="126984"/>
            <wp:effectExtent l="0" t="0" r="0" b="0"/>
            <wp:docPr id="100436" name="Picture 100436" descr="Continuous variable, e.g. 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7"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Continuous variable, e.g. average  </w:t>
      </w:r>
    </w:p>
    <w:p w14:paraId="4D50761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ADB49C8" wp14:editId="09AA4A89">
            <wp:extent cx="126984" cy="126984"/>
            <wp:effectExtent l="0" t="0" r="0" b="0"/>
            <wp:docPr id="100438" name="Picture 100438" descr="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9"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Count  </w:t>
      </w:r>
    </w:p>
    <w:p w14:paraId="22D04FD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4FA2B2E" wp14:editId="6C577380">
            <wp:extent cx="126984" cy="126984"/>
            <wp:effectExtent l="0" t="0" r="0" b="0"/>
            <wp:docPr id="100440" name="Picture 100440" descr="Frequenc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1"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Frequency Distribution  </w:t>
      </w:r>
    </w:p>
    <w:p w14:paraId="2C93B70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1F6F600" wp14:editId="2A484B9F">
            <wp:extent cx="126984" cy="126984"/>
            <wp:effectExtent l="0" t="0" r="0" b="0"/>
            <wp:docPr id="100442" name="Picture 100442" descr="Non-weighted score/composite/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3"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Non-weighted score/composite/scale  </w:t>
      </w:r>
    </w:p>
    <w:p w14:paraId="39E0A1A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289E2B6" wp14:editId="6ECB32B0">
            <wp:extent cx="126984" cy="126984"/>
            <wp:effectExtent l="0" t="0" r="0" b="0"/>
            <wp:docPr id="100444" name="Picture 100444"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5"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79A5E93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4646A39" wp14:editId="1B4BCFEC">
            <wp:extent cx="126984" cy="126984"/>
            <wp:effectExtent l="0" t="0" r="0" b="0"/>
            <wp:docPr id="100446" name="Picture 100446" descr="Rate/propor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7"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Rate/proportion  </w:t>
      </w:r>
    </w:p>
    <w:p w14:paraId="6CF0DE9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6744196" wp14:editId="750501D0">
            <wp:extent cx="126984" cy="126984"/>
            <wp:effectExtent l="0" t="0" r="0" b="0"/>
            <wp:docPr id="100448" name="Picture 100448" descr="Rat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Ratio  </w:t>
      </w:r>
    </w:p>
    <w:p w14:paraId="6F98FBC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C237F19" wp14:editId="58CFC9B5">
            <wp:extent cx="126984" cy="126984"/>
            <wp:effectExtent l="0" t="0" r="0" b="0"/>
            <wp:docPr id="100450" name="Picture 100450" descr="Weighted score/composite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1"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Weighted score/composite scale  </w:t>
      </w:r>
    </w:p>
    <w:p w14:paraId="5B002443" w14:textId="77777777" w:rsidR="00A77B3E" w:rsidRDefault="00A77B3E">
      <w:pPr>
        <w:spacing w:after="240"/>
        <w:rPr>
          <w:rFonts w:ascii="Calibri" w:eastAsia="Calibri" w:hAnsi="Calibri" w:cs="Calibri"/>
          <w:color w:val="000000"/>
          <w:sz w:val="22"/>
        </w:rPr>
      </w:pPr>
    </w:p>
    <w:p w14:paraId="2F7BFAE1"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sp.23) Select the appropriate interpretation of the measure score.</w:t>
      </w:r>
    </w:p>
    <w:p w14:paraId="425449BA"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Classifies interpretation of score according to whether better quality or resource use is associated with a higher score, a lower score, a score falling within a defined interval, or a passing score</w:t>
      </w:r>
      <w:r>
        <w:rPr>
          <w:rFonts w:ascii="Calibri" w:eastAsia="Calibri" w:hAnsi="Calibri" w:cs="Calibri"/>
          <w:noProof/>
          <w:color w:val="000000"/>
          <w:sz w:val="22"/>
        </w:rPr>
        <w:drawing>
          <wp:inline distT="0" distB="0" distL="0" distR="0" wp14:anchorId="367A069C" wp14:editId="025C710F">
            <wp:extent cx="126984" cy="126984"/>
            <wp:effectExtent l="0" t="0" r="0" b="0"/>
            <wp:docPr id="100452" name="Picture 100452" descr="Better quality = Higher 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Better quality = Higher score  </w:t>
      </w:r>
    </w:p>
    <w:p w14:paraId="369D430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F69EC85" wp14:editId="0DA37A45">
            <wp:extent cx="126984" cy="126984"/>
            <wp:effectExtent l="0" t="0" r="0" b="0"/>
            <wp:docPr id="100454" name="Picture 100454" descr="Better quality = Lower 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Better quality = Lower score  </w:t>
      </w:r>
    </w:p>
    <w:p w14:paraId="4A224BC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3966C47" wp14:editId="4CC4B702">
            <wp:extent cx="126984" cy="126984"/>
            <wp:effectExtent l="0" t="0" r="0" b="0"/>
            <wp:docPr id="100456" name="Picture 100456" descr="Better quality = Score within a defined inte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Better quality = Score within a defined interval  </w:t>
      </w:r>
    </w:p>
    <w:p w14:paraId="20C2B78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1ADB20D" wp14:editId="6F946CE5">
            <wp:extent cx="126984" cy="126984"/>
            <wp:effectExtent l="0" t="0" r="0" b="0"/>
            <wp:docPr id="100458" name="Picture 100458" descr="Passing score defines better qua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Passing score defines better quality  </w:t>
      </w:r>
    </w:p>
    <w:p w14:paraId="6907E838" w14:textId="77777777" w:rsidR="00A77B3E" w:rsidRDefault="00A77B3E">
      <w:pPr>
        <w:spacing w:after="240"/>
        <w:rPr>
          <w:rFonts w:ascii="Calibri" w:eastAsia="Calibri" w:hAnsi="Calibri" w:cs="Calibri"/>
          <w:color w:val="000000"/>
          <w:sz w:val="22"/>
        </w:rPr>
      </w:pPr>
    </w:p>
    <w:p w14:paraId="6F64AA4C"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sp.24) Diagram or describe the calculation of the measure score as an ordered sequence of steps.</w:t>
      </w:r>
    </w:p>
    <w:p w14:paraId="03E60C6A"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Identify the target population; exclusions; cases meeting the target process, condition, event, or outcome; time period of data, aggregating data; risk adjustment; </w:t>
      </w:r>
      <w:proofErr w:type="spellStart"/>
      <w:r>
        <w:rPr>
          <w:rFonts w:ascii="Calibri" w:eastAsia="Calibri" w:hAnsi="Calibri" w:cs="Calibri"/>
          <w:i/>
          <w:iCs/>
          <w:color w:val="000000"/>
          <w:sz w:val="22"/>
        </w:rPr>
        <w:t>etc.</w:t>
      </w:r>
      <w:r>
        <w:rPr>
          <w:rFonts w:ascii="Calibri" w:eastAsia="Calibri" w:hAnsi="Calibri" w:cs="Calibri"/>
          <w:color w:val="000000"/>
          <w:sz w:val="22"/>
        </w:rPr>
        <w:t>See</w:t>
      </w:r>
      <w:proofErr w:type="spellEnd"/>
      <w:r>
        <w:rPr>
          <w:rFonts w:ascii="Calibri" w:eastAsia="Calibri" w:hAnsi="Calibri" w:cs="Calibri"/>
          <w:color w:val="000000"/>
          <w:sz w:val="22"/>
        </w:rPr>
        <w:t xml:space="preserve"> flowchart in attachments.</w:t>
      </w:r>
    </w:p>
    <w:p w14:paraId="2B76FA14" w14:textId="77777777" w:rsidR="00A77B3E" w:rsidRDefault="00A77B3E">
      <w:pPr>
        <w:spacing w:after="240"/>
        <w:rPr>
          <w:rFonts w:ascii="Calibri" w:eastAsia="Calibri" w:hAnsi="Calibri" w:cs="Calibri"/>
          <w:color w:val="000000"/>
          <w:sz w:val="22"/>
        </w:rPr>
      </w:pPr>
    </w:p>
    <w:p w14:paraId="0E649441"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sp.27) If measure testing is based on a sample, provide instructions for obtaining the sample and guidance on minimum sample size.</w:t>
      </w:r>
    </w:p>
    <w:p w14:paraId="439843ED"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lastRenderedPageBreak/>
        <w:t>Examples of samples used for testing:</w:t>
      </w:r>
    </w:p>
    <w:p w14:paraId="4372AB6C"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 Testing may be conducted on a sample of the accountable entities (e.g., hospital, physician). The analytic unit specified for the particular measure (e.g., physician, hospital, home health agency) determines the sampling strategy for scientific acceptability testing.</w:t>
      </w:r>
    </w:p>
    <w:p w14:paraId="21271D49"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 xml:space="preserve">• The sample should represent the variety of entities whose performance will be measured. The </w:t>
      </w:r>
      <w:hyperlink r:id="rId19" w:tgtFrame="_blank" w:history="1">
        <w:r>
          <w:rPr>
            <w:rFonts w:ascii="Calibri" w:eastAsia="Calibri" w:hAnsi="Calibri" w:cs="Calibri"/>
            <w:i/>
            <w:color w:val="0000FF"/>
            <w:sz w:val="22"/>
            <w:u w:val="single" w:color="0000FF"/>
          </w:rPr>
          <w:t>2010 Measure Testing Task Force</w:t>
        </w:r>
      </w:hyperlink>
      <w:r>
        <w:rPr>
          <w:rFonts w:ascii="Calibri" w:eastAsia="Calibri" w:hAnsi="Calibri" w:cs="Calibri"/>
          <w:i/>
          <w:color w:val="000000"/>
          <w:sz w:val="22"/>
        </w:rPr>
        <w:t xml:space="preserve"> recognized that the samples used for reliability and validity testing often have limited generalizability because measured entities volunteer to participate. Ideally, however, all types of entities whose performance will be measured should be included in reliability and validity testing.</w:t>
      </w:r>
    </w:p>
    <w:p w14:paraId="749B4532"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 The sample should include adequate numbers of units of measurement and adequate numbers of patients to answer the specific reliability or validity question with the chosen statistical method.</w:t>
      </w:r>
    </w:p>
    <w:p w14:paraId="03BA7A8A" w14:textId="77777777" w:rsidR="00A77B3E" w:rsidRDefault="00000000">
      <w:pPr>
        <w:spacing w:after="240"/>
        <w:rPr>
          <w:rFonts w:ascii="Calibri" w:eastAsia="Calibri" w:hAnsi="Calibri" w:cs="Calibri"/>
          <w:i/>
          <w:color w:val="000000"/>
          <w:sz w:val="22"/>
        </w:rPr>
      </w:pPr>
      <w:r>
        <w:rPr>
          <w:rFonts w:ascii="Calibri" w:eastAsia="Calibri" w:hAnsi="Calibri" w:cs="Calibri"/>
          <w:i/>
          <w:color w:val="000000"/>
          <w:sz w:val="22"/>
        </w:rPr>
        <w:t>• When possible, units of measurement and patients within units should be randomly selected.</w:t>
      </w:r>
    </w:p>
    <w:p w14:paraId="23FBBED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0BD565F3" w14:textId="77777777" w:rsidR="00A77B3E" w:rsidRDefault="00A77B3E">
      <w:pPr>
        <w:spacing w:after="240"/>
        <w:rPr>
          <w:rFonts w:ascii="Calibri" w:eastAsia="Calibri" w:hAnsi="Calibri" w:cs="Calibri"/>
          <w:color w:val="000000"/>
          <w:sz w:val="22"/>
        </w:rPr>
      </w:pPr>
    </w:p>
    <w:p w14:paraId="14B4C9F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 xml:space="preserve">sp.30) Select </w:t>
      </w:r>
      <w:r>
        <w:rPr>
          <w:rFonts w:ascii="Calibri" w:eastAsia="Calibri" w:hAnsi="Calibri" w:cs="Calibri"/>
          <w:b/>
          <w:bCs/>
          <w:color w:val="000000"/>
          <w:sz w:val="22"/>
        </w:rPr>
        <w:t>only</w:t>
      </w:r>
      <w:r>
        <w:rPr>
          <w:rFonts w:ascii="Calibri" w:eastAsia="Calibri" w:hAnsi="Calibri" w:cs="Calibri"/>
          <w:b/>
          <w:color w:val="000000"/>
          <w:sz w:val="22"/>
        </w:rPr>
        <w:t xml:space="preserve"> the data sources for which the measure is </w:t>
      </w:r>
      <w:r>
        <w:rPr>
          <w:rFonts w:ascii="Calibri" w:eastAsia="Calibri" w:hAnsi="Calibri" w:cs="Calibri"/>
          <w:b/>
          <w:bCs/>
          <w:color w:val="000000"/>
          <w:sz w:val="22"/>
        </w:rPr>
        <w:t>specified</w:t>
      </w:r>
      <w:r>
        <w:rPr>
          <w:rFonts w:ascii="Calibri" w:eastAsia="Calibri" w:hAnsi="Calibri" w:cs="Calibri"/>
          <w:b/>
          <w:color w:val="000000"/>
          <w:sz w:val="22"/>
        </w:rPr>
        <w:t>.</w:t>
      </w:r>
    </w:p>
    <w:p w14:paraId="76B49C0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C2274AB" wp14:editId="40E2981E">
            <wp:extent cx="126984" cy="126984"/>
            <wp:effectExtent l="0" t="0" r="0" b="0"/>
            <wp:docPr id="100460" name="Picture 100460" descr="Assessment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Assessment Data  </w:t>
      </w:r>
    </w:p>
    <w:p w14:paraId="09D3E66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FF28220" wp14:editId="2576ED8D">
            <wp:extent cx="126984" cy="126984"/>
            <wp:effectExtent l="0" t="0" r="0" b="0"/>
            <wp:docPr id="100462" name="Picture 100462" descr="Clai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Claims  </w:t>
      </w:r>
    </w:p>
    <w:p w14:paraId="213B007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E841196" wp14:editId="0BA39FC1">
            <wp:extent cx="126984" cy="126984"/>
            <wp:effectExtent l="0" t="0" r="0" b="0"/>
            <wp:docPr id="100464" name="Picture 100464" descr="Electronic Health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Electronic Health Data  </w:t>
      </w:r>
    </w:p>
    <w:p w14:paraId="6F8DC98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F34770C" wp14:editId="3AC7C939">
            <wp:extent cx="126984" cy="126984"/>
            <wp:effectExtent l="0" t="0" r="0" b="0"/>
            <wp:docPr id="100466" name="Picture 100466" descr="Electronic Health Rec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Electronic Health Records  </w:t>
      </w:r>
    </w:p>
    <w:p w14:paraId="2D78C98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D7F5C96" wp14:editId="3A0FA7E8">
            <wp:extent cx="126984" cy="126984"/>
            <wp:effectExtent l="0" t="0" r="0" b="0"/>
            <wp:docPr id="100468" name="Picture 100468" descr="Instrument-Based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Instrument-Based Data  </w:t>
      </w:r>
    </w:p>
    <w:p w14:paraId="0DD94F7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5A938B7" wp14:editId="47F17841">
            <wp:extent cx="126984" cy="126984"/>
            <wp:effectExtent l="0" t="0" r="0" b="0"/>
            <wp:docPr id="100470" name="Picture 100470" descr="Management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Management Data  </w:t>
      </w:r>
    </w:p>
    <w:p w14:paraId="64CB2E6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59F4329" wp14:editId="19E044CD">
            <wp:extent cx="126984" cy="126984"/>
            <wp:effectExtent l="0" t="0" r="0" b="0"/>
            <wp:docPr id="100472" name="Picture 100472"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61BFDD8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BBC3C32" wp14:editId="0F5E2E32">
            <wp:extent cx="126984" cy="126984"/>
            <wp:effectExtent l="0" t="0" r="0" b="0"/>
            <wp:docPr id="100474" name="Picture 100474" descr="Paper Medical Rec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Paper Medical Records  </w:t>
      </w:r>
    </w:p>
    <w:p w14:paraId="18A2D2D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B1EFA73" wp14:editId="5E7ACFCA">
            <wp:extent cx="126984" cy="126984"/>
            <wp:effectExtent l="0" t="0" r="0" b="0"/>
            <wp:docPr id="100476" name="Picture 100476" descr="Registry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7"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Registry Data  </w:t>
      </w:r>
    </w:p>
    <w:p w14:paraId="397F8EE5" w14:textId="77777777" w:rsidR="00A77B3E" w:rsidRDefault="00A77B3E">
      <w:pPr>
        <w:spacing w:after="240"/>
        <w:rPr>
          <w:rFonts w:ascii="Calibri" w:eastAsia="Calibri" w:hAnsi="Calibri" w:cs="Calibri"/>
          <w:color w:val="000000"/>
          <w:sz w:val="22"/>
        </w:rPr>
      </w:pPr>
    </w:p>
    <w:p w14:paraId="6D99CCA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sp.31) Identify the specific data source or data collection instrument.</w:t>
      </w:r>
    </w:p>
    <w:p w14:paraId="404CAD88"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For example, provide the name of the database, clinical registry, collection instrument, etc., and describe how data are </w:t>
      </w:r>
      <w:proofErr w:type="spellStart"/>
      <w:r>
        <w:rPr>
          <w:rFonts w:ascii="Calibri" w:eastAsia="Calibri" w:hAnsi="Calibri" w:cs="Calibri"/>
          <w:i/>
          <w:iCs/>
          <w:color w:val="000000"/>
          <w:sz w:val="22"/>
        </w:rPr>
        <w:t>collected.</w:t>
      </w:r>
      <w:r>
        <w:rPr>
          <w:rFonts w:ascii="Calibri" w:eastAsia="Calibri" w:hAnsi="Calibri" w:cs="Calibri"/>
          <w:color w:val="000000"/>
          <w:sz w:val="22"/>
        </w:rPr>
        <w:t>EQRS</w:t>
      </w:r>
      <w:proofErr w:type="spellEnd"/>
      <w:r>
        <w:rPr>
          <w:rFonts w:ascii="Calibri" w:eastAsia="Calibri" w:hAnsi="Calibri" w:cs="Calibri"/>
          <w:color w:val="000000"/>
          <w:sz w:val="22"/>
        </w:rPr>
        <w:t xml:space="preserve"> (formerly CROWNWeb), Medicare Claims, and the CMS Medical Evidence Form 2728 were used as the data sources for establishing the denominator. EQRS was used for the age risk adjustment and exclusion of patients aged 75 or older. Organ Procurement and Transplant Network (OPTN) is the data source for the numerator (waitlisting or living donor kidney transplantation). </w:t>
      </w:r>
      <w:r>
        <w:rPr>
          <w:rFonts w:ascii="Calibri" w:eastAsia="Calibri" w:hAnsi="Calibri" w:cs="Calibri"/>
          <w:color w:val="000000"/>
          <w:sz w:val="22"/>
        </w:rPr>
        <w:lastRenderedPageBreak/>
        <w:t>Medicare claims from the year prior to the reporting period were used for comorbidity condition adjustments. Medicare claims during the reporting period were used for the hospice exclusion criteria. The Nursing Home Minimum Dataset was used to identify SNF patients. Additionally, Medicare claims during the reporting period and a payment history file were used to determine dual eligibility status. The Medicare Provider Files from the CMS Integrated Data Repository (IDR) were used to identify dialysis practitioner’s group practice. Area Deprivation Index (ADI) was obtained from Census data (2011-2015) based on patient zip code. In order to assess the transplant center characteristics, Scientific Registry of Transplant Recipients (SRTR) data was used.</w:t>
      </w:r>
    </w:p>
    <w:p w14:paraId="58AA2148" w14:textId="77777777" w:rsidR="00A77B3E" w:rsidRDefault="00A77B3E">
      <w:pPr>
        <w:spacing w:after="240"/>
        <w:rPr>
          <w:rFonts w:ascii="Calibri" w:eastAsia="Calibri" w:hAnsi="Calibri" w:cs="Calibri"/>
          <w:color w:val="000000"/>
          <w:sz w:val="22"/>
        </w:rPr>
      </w:pPr>
    </w:p>
    <w:p w14:paraId="11CBB00F"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sp.32) Provide the data collection instrument.</w:t>
      </w:r>
    </w:p>
    <w:p w14:paraId="4E2DEE5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8825333" wp14:editId="2ABE84B3">
            <wp:extent cx="126984" cy="126984"/>
            <wp:effectExtent l="0" t="0" r="0" b="0"/>
            <wp:docPr id="100478" name="Picture 100478" descr="Available at measure-specific web page URL identified in sp.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9"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Available at measure-specific web page URL identified in sp.09  </w:t>
      </w:r>
    </w:p>
    <w:p w14:paraId="531C5C1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9F59134" wp14:editId="0CD0715A">
            <wp:extent cx="126984" cy="126984"/>
            <wp:effectExtent l="0" t="0" r="0" b="0"/>
            <wp:docPr id="100480" name="Picture 100480" descr="Available in attached appendix in Question 1 of the Additional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Available in attached appendix in Question 1 of the Additional Section  </w:t>
      </w:r>
    </w:p>
    <w:p w14:paraId="0206915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3994E08" wp14:editId="1B53558F">
            <wp:extent cx="126984" cy="126984"/>
            <wp:effectExtent l="0" t="0" r="0" b="0"/>
            <wp:docPr id="100482" name="Picture 100482" descr="No data collection instrument provi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data collection instrument provided  </w:t>
      </w:r>
    </w:p>
    <w:p w14:paraId="5102710C" w14:textId="77777777" w:rsidR="00A77B3E" w:rsidRDefault="00A77B3E">
      <w:pPr>
        <w:spacing w:after="240"/>
        <w:rPr>
          <w:rFonts w:ascii="Calibri" w:eastAsia="Calibri" w:hAnsi="Calibri" w:cs="Calibri"/>
          <w:color w:val="000000"/>
          <w:sz w:val="22"/>
        </w:rPr>
      </w:pPr>
    </w:p>
    <w:p w14:paraId="65B7CD46"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Importance to Measure and Report: Evidence (Outcomes) (1a.01 - 1a.03)</w:t>
      </w:r>
      <w:r>
        <w:pict w14:anchorId="670621D1">
          <v:rect id="_x0000_i1030" style="width:468pt;height:1pt" o:hralign="center" o:hrstd="t" o:hrnoshade="t" o:hr="t" fillcolor="#326295" stroked="f">
            <v:path strokeok="f"/>
          </v:rect>
        </w:pict>
      </w:r>
    </w:p>
    <w:p w14:paraId="574AE732" w14:textId="77777777" w:rsidR="00A77B3E" w:rsidRDefault="00A77B3E">
      <w:pPr>
        <w:pStyle w:val="Heading1"/>
        <w:spacing w:before="0" w:after="240"/>
        <w:rPr>
          <w:rFonts w:ascii="Calibri" w:eastAsia="Calibri" w:hAnsi="Calibri" w:cs="Calibri"/>
          <w:b w:val="0"/>
          <w:color w:val="326295"/>
          <w:sz w:val="2"/>
        </w:rPr>
      </w:pPr>
    </w:p>
    <w:p w14:paraId="6F94512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Please separate added or updated information from the most recent measure evaluation within each question response in the Importance to Measure and Report: Evidence section. For example:</w:t>
      </w:r>
    </w:p>
    <w:p w14:paraId="27FA969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Current Submission:</w:t>
      </w:r>
    </w:p>
    <w:p w14:paraId="5370131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Updated evidence information here.</w:t>
      </w:r>
    </w:p>
    <w:p w14:paraId="0D9868D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Previous (Year) Submission:</w:t>
      </w:r>
    </w:p>
    <w:p w14:paraId="2AF9D42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Evidence from the previous submission here.</w:t>
      </w:r>
    </w:p>
    <w:p w14:paraId="4D4C6E7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p w14:paraId="083617E9" w14:textId="77777777" w:rsidR="00A77B3E" w:rsidRDefault="00A77B3E">
      <w:pPr>
        <w:spacing w:after="240"/>
        <w:rPr>
          <w:rFonts w:ascii="Calibri" w:eastAsia="Calibri" w:hAnsi="Calibri" w:cs="Calibri"/>
          <w:color w:val="000000"/>
          <w:sz w:val="22"/>
        </w:rPr>
      </w:pPr>
    </w:p>
    <w:p w14:paraId="1E3FE8DD"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1a.01) Provide a logic model.</w:t>
      </w:r>
    </w:p>
    <w:p w14:paraId="14D52800"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506C46F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This measure tracks the outcomes of new placement on the kidney or kidney-pancreas transplantation waitlist or receipt of a living donor transplant following dialysis initiation, with the intended objective of improving the overall health of patients on dialysis. Being waitlisted or receiving a living donor kidney transplant are outcomes as they represent a desirable change in health status for patients on dialysis, indicating achievement of a health condition conducive to kidney transplantation. These outcomes result from specific activities directed by dialysis practitioners with the particular goal of achieving suitability for kidney transplantation by addressing the specific healthcare needs of patients on dialysis. These activities can include, but are not limited to, ensuring an ideal dialysis prescription and care, correction and optimization of common underlying chronic health conditions such as heart failure, coronary artery disease, diabetes mellitus, hyperparathyroidism, and obesity, and as needed, optimizing mental health and social support systems. In addition, dialysis practitioners support the path for patients towards waitlisting or living donor transplantation through proper education about the transplantation option, referral to a transplant center and assistance with completion of the transplant evaluation process. The logic model for the steps involved is diagrammed below (with the outcome measure in bold):</w:t>
      </w:r>
    </w:p>
    <w:p w14:paraId="64EA553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Patients with ESRD on maintenance dialysis -&gt; Patients not already on the wait list are educated about the option of kidney transplantation and assessed for eligibility for transplant referral by a dialysis practitioner -&gt; Patients are referred to a transplant center for evaluation of candidacy for kidney or kidney-pancreas transplantation -&gt; Dialysis practitioners assist patient with completion of the transplant </w:t>
      </w:r>
      <w:r>
        <w:rPr>
          <w:rFonts w:ascii="Calibri" w:eastAsia="Calibri" w:hAnsi="Calibri" w:cs="Calibri"/>
          <w:color w:val="000000"/>
          <w:sz w:val="22"/>
        </w:rPr>
        <w:lastRenderedPageBreak/>
        <w:t xml:space="preserve">evaluation process and optimizing their health and functional status -&gt; </w:t>
      </w:r>
      <w:r>
        <w:rPr>
          <w:rFonts w:ascii="Calibri" w:eastAsia="Calibri" w:hAnsi="Calibri" w:cs="Calibri"/>
          <w:b/>
          <w:bCs/>
          <w:color w:val="000000"/>
          <w:sz w:val="22"/>
        </w:rPr>
        <w:t>Patients deemed to be candidates for transplantation who have compatible living donors receive living donor transplant; otherwise they are placed on the wait list with the potential to receive a deceased donor transplant</w:t>
      </w:r>
      <w:r>
        <w:rPr>
          <w:rFonts w:ascii="Calibri" w:eastAsia="Calibri" w:hAnsi="Calibri" w:cs="Calibri"/>
          <w:color w:val="000000"/>
          <w:sz w:val="22"/>
        </w:rPr>
        <w:t>.</w:t>
      </w:r>
    </w:p>
    <w:p w14:paraId="0CD39AF0" w14:textId="77777777" w:rsidR="00A77B3E" w:rsidRDefault="00A77B3E">
      <w:pPr>
        <w:spacing w:after="240"/>
        <w:rPr>
          <w:rFonts w:ascii="Calibri" w:eastAsia="Calibri" w:hAnsi="Calibri" w:cs="Calibri"/>
          <w:color w:val="000000"/>
          <w:sz w:val="22"/>
        </w:rPr>
      </w:pPr>
    </w:p>
    <w:p w14:paraId="2CEBA402" w14:textId="77777777" w:rsidR="00A77B3E" w:rsidRDefault="00A77B3E">
      <w:pPr>
        <w:spacing w:after="240"/>
        <w:rPr>
          <w:rFonts w:ascii="Calibri" w:eastAsia="Calibri" w:hAnsi="Calibri" w:cs="Calibri"/>
          <w:color w:val="000000"/>
          <w:sz w:val="22"/>
        </w:rPr>
      </w:pPr>
    </w:p>
    <w:p w14:paraId="66FFAAC1"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1a.02) Provide evidence that the target population values the measured outcome, process, or structure and finds it meaningful.</w:t>
      </w:r>
    </w:p>
    <w:p w14:paraId="794699A2"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Describe how and from whom input was obtained.</w:t>
      </w:r>
    </w:p>
    <w:p w14:paraId="2480CEC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Two previous Technical Expert Panels (TEP) have been convened to discuss potential measures directed at improving access to kidney transplantation, in 2015 and most recently, in 2021 (2015 TEP Report: https://dialysisdata.org/sites/default/files/content/ESRD_Measures/Access_To_Kidney_Transplantation_TEP_Summary_Report.pdf; 2021 TEP Report: https://dialysisdata.org/content/esrd-measures, please see Practitioner Level Measurement of Effective Access to Kidney Transplantation under Ongoing Technical Expert Panels section). Both were comprised of relevant stakeholders, including dialysis nephrologists, transplant nephrologists, transplant surgeons, social workers, researchers, and notably, patient representatives with a history of end-stage kidney disease. Discussions during both TEPs revealed broad support for the importance of waitlisting, and formal voting demonstrated a majority of TEP members were in favor of the development of quality measures targeting waitlisting (at the dialysis facility level for the 2015 TEP, and the practitioner level for the 2021 TEP).</w:t>
      </w:r>
    </w:p>
    <w:p w14:paraId="7C8A0DC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In addition to the above, empirical support for the value of waitlisting to patients comes from a published study reporting on a large survey of 409 patients or family members who agreed to receiving emails from the National Kidney Foundation (Husain S.A. et al, Am. J. Transplant 2018;18(11):2781-2790). Participants included both patients with advanced chronic kidney disease prior to transplant, and recipients of transplants, who were asked about their priorities in choice of a transplant center. Notably, participants were most likely (a plurality of participants) to rank waitlisting characteristics (such as ease of getting on the waitlist) as the most important feature, in contrast to other transplant center characteristics such as post-transplant outcomes and practical considerations (e.g. distance to center).</w:t>
      </w:r>
    </w:p>
    <w:p w14:paraId="574032F5" w14:textId="77777777" w:rsidR="00A77B3E" w:rsidRDefault="00A77B3E">
      <w:pPr>
        <w:spacing w:after="240"/>
        <w:rPr>
          <w:rFonts w:ascii="Calibri" w:eastAsia="Calibri" w:hAnsi="Calibri" w:cs="Calibri"/>
          <w:color w:val="000000"/>
          <w:sz w:val="22"/>
        </w:rPr>
      </w:pPr>
    </w:p>
    <w:p w14:paraId="54EFD7EA" w14:textId="77777777" w:rsidR="00A77B3E" w:rsidRDefault="00A77B3E">
      <w:pPr>
        <w:spacing w:after="240"/>
        <w:rPr>
          <w:rFonts w:ascii="Calibri" w:eastAsia="Calibri" w:hAnsi="Calibri" w:cs="Calibri"/>
          <w:color w:val="000000"/>
          <w:sz w:val="22"/>
        </w:rPr>
      </w:pPr>
    </w:p>
    <w:p w14:paraId="103B0FF7"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1a.03) Provide empirical data demonstrating the relationship between the outcome (or PRO) and at least one healthcare structure, process, intervention, or service. </w:t>
      </w:r>
    </w:p>
    <w:p w14:paraId="44E0360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National or large regional studies provide strong empirical support for the association between processes under dialysis practitioner control and subsequent waitlisting. In one large regional study conducted on facilities in the state of Georgia, a standardized dialysis facility referral ratio was developed, adjusted for age, demographics and comorbidities (Paul S. et al, Clin J Am Soc Nephrol 2018;13:282-289). There was substantial variability across dialysis facilities in referral rates, and a Spearman correlation performed between ranking on the referral ratio and dialysis facility waitlist rates was highly significant (r=0.35, p&lt;0.001). A national study using registry data (United States Renal Data System) from 2005-2007 examined the association between whether patients were informed about </w:t>
      </w:r>
      <w:r>
        <w:rPr>
          <w:rFonts w:ascii="Calibri" w:eastAsia="Calibri" w:hAnsi="Calibri" w:cs="Calibri"/>
          <w:color w:val="000000"/>
          <w:sz w:val="22"/>
        </w:rPr>
        <w:lastRenderedPageBreak/>
        <w:t>kidney transplantation (based on reporting on the Medical Evidence Form 2728) and subsequent access to kidney transplantation (waitlisting or receipt of a live donor transplant) (</w:t>
      </w:r>
      <w:proofErr w:type="spellStart"/>
      <w:r>
        <w:rPr>
          <w:rFonts w:ascii="Calibri" w:eastAsia="Calibri" w:hAnsi="Calibri" w:cs="Calibri"/>
          <w:color w:val="000000"/>
          <w:sz w:val="22"/>
        </w:rPr>
        <w:t>Kucirka</w:t>
      </w:r>
      <w:proofErr w:type="spellEnd"/>
      <w:r>
        <w:rPr>
          <w:rFonts w:ascii="Calibri" w:eastAsia="Calibri" w:hAnsi="Calibri" w:cs="Calibri"/>
          <w:color w:val="000000"/>
          <w:sz w:val="22"/>
        </w:rPr>
        <w:t xml:space="preserve"> LM et al. Am J Transplant 2012;12:351-357). Approximately 30% of patients were uninformed about kidney transplantation, and this was associated with half the rate of access to transplantation compared to patients who were informed. In a related survey study of 388 hemodialysis patients, whether provision of information about transplantation by nephrologists or dialysis staff occurred was directly confirmed with patients (Salter ML et al, J Am Soc Nephrol 2014;25:2871-2877). Patient report of provision of such information was associated with a three-fold increase in likelihood of waitlisting. Finally, a large survey study of 170 dialysis facilities in the Heartland Kidney Network (Iowa, Kansas, Missouri and Nebraska) was conducted to examine transplant education practices (Waterman AD et al, Clin J Am Soc Nephrol 2015;10:1617-1625). Facilities employing multiple (&gt;3) transplant education strategies (e.g. provision of brochures, referral to formal transplant education program, distribution of transplant center contact information) had 36% higher waitlist rates compared to facilities employing fewer strategies.</w:t>
      </w:r>
    </w:p>
    <w:p w14:paraId="6886307D" w14:textId="77777777" w:rsidR="00A77B3E" w:rsidRDefault="00A77B3E">
      <w:pPr>
        <w:spacing w:after="240"/>
        <w:rPr>
          <w:rFonts w:ascii="Calibri" w:eastAsia="Calibri" w:hAnsi="Calibri" w:cs="Calibri"/>
          <w:color w:val="000000"/>
          <w:sz w:val="22"/>
        </w:rPr>
      </w:pPr>
    </w:p>
    <w:p w14:paraId="7EFF2C35"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Importance to Measure and Report: Gap in Care/Disparities (1b.01 - 1b.05)</w:t>
      </w:r>
      <w:r>
        <w:pict w14:anchorId="714C4B14">
          <v:rect id="_x0000_i1031" style="width:468pt;height:1pt" o:hralign="center" o:hrstd="t" o:hrnoshade="t" o:hr="t" fillcolor="#326295" stroked="f">
            <v:path strokeok="f"/>
          </v:rect>
        </w:pict>
      </w:r>
    </w:p>
    <w:p w14:paraId="1E4FF6AD" w14:textId="77777777" w:rsidR="00A77B3E" w:rsidRDefault="00A77B3E">
      <w:pPr>
        <w:pStyle w:val="Heading1"/>
        <w:spacing w:before="0" w:after="240"/>
        <w:rPr>
          <w:rFonts w:ascii="Calibri" w:eastAsia="Calibri" w:hAnsi="Calibri" w:cs="Calibri"/>
          <w:b w:val="0"/>
          <w:color w:val="326295"/>
          <w:sz w:val="2"/>
        </w:rPr>
      </w:pPr>
    </w:p>
    <w:p w14:paraId="7CB7036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1b.01) Briefly explain the rationale for this measure.</w:t>
      </w:r>
    </w:p>
    <w:p w14:paraId="140AFF08"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Explain how the measure will improve the quality of care, and list the benefits or improvements in quality envisioned by use of this measure.</w:t>
      </w:r>
    </w:p>
    <w:p w14:paraId="04E6A3C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 measure focusing on the outcome of waitlisting is appropriate for several reasons. First, in preparing patients for suitability for waitlisting, dialysis practitioners optimize their health and functional status, improving their overall health state. Second, waitlisting is a necessary step prior to potential receipt of a deceased donor kidney transplant (receipt of a living donor kidney is also accounted for in the measure), which is known to be beneficial for survival and quality of life [1]. Third, dialysis practitioners exert substantial control over the processes that result in waitlisting. This includes proper education of dialysis patients on the option for transplant, referral of appropriate patients to a transplant center for evaluation, and assisting patients with completion of the transplant evaluation process, in order to increase their candidacy for transplant waitlisting. These types of activities are included as part of the conditions for coverage for Medicare certification of ESRD dialysis facilities. Finally, wide regional and facility variations in waitlisting rates highlight substantial room for improvement for this measure [2-5].</w:t>
      </w:r>
    </w:p>
    <w:p w14:paraId="1F2518C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Additionally, this measure focuses specifically on the population of prevalent patients on dialysis, examining for the occurrence of new waitlisting or living donor transplant events. This will evaluate and encourage rapid attention from dialysis practitioner groups to the optimization of health of patients to ensure early access to the waitlist, which has been demonstrated to be particularly beneficial [6-9]. Given that many patients may not be ready for transplant candidacy immediately following initiation of dialysis, this measure encourages ongoing attention to transplant candidacy throughout the period following dialysis initiation. </w:t>
      </w:r>
    </w:p>
    <w:p w14:paraId="6D335E5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 Tonelli M, Wiebe N, Knoll G, et al. Systematic review: kidney transplantation compared with dialysis in clinically relevant outcomes. American Journal of Transplantation 2011;11:2093-2109.</w:t>
      </w:r>
    </w:p>
    <w:p w14:paraId="66B6C1E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Abstract: Individual studies indicate that kidney transplantation is associated with lower mortality and improved quality of life compared with chronic dialysis treatment. We did a systematic review to summarize the benefits of transplantation, aiming to identify characteristics associated with especially large or small relative benefit. Results were not pooled because of expected diversity inherent to observational studies. Risk of bias was assessed using the Downs and Black checklist and items related to time-to-event analysis techniques. MEDLINE and EMBASE were searched up to February 2010. Cohort studies comparing adult chronic dialysis patients with kidney transplantation recipients for clinical outcomes were selected. We identified 110 eligible studies with a total of 1 922 300 participants. Most studies found significantly lower mortality associated with transplantation, and the relative magnitude of the benefit seemed to increase over time (p &lt; 0.001). Most studies also found that the risk of cardiovascular events was significantly reduced among transplant recipients. Quality of life was significantly and substantially better among transplant recipients. Despite increases in the age and comorbidity of contemporary transplant recipients, the relative benefits of transplantation seem to be </w:t>
      </w:r>
      <w:r>
        <w:rPr>
          <w:rFonts w:ascii="Calibri" w:eastAsia="Calibri" w:hAnsi="Calibri" w:cs="Calibri"/>
          <w:color w:val="000000"/>
          <w:sz w:val="22"/>
        </w:rPr>
        <w:lastRenderedPageBreak/>
        <w:t>increasing over time. These findings validate current attempts to increase the number of people worldwide that benefit from kidney transplantation.</w:t>
      </w:r>
    </w:p>
    <w:p w14:paraId="0C39079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 Ashby VB, Kalbfleisch JD, Wolfe RA, et al. Geographic variability in access to primary kidney transplantation in the United States, 1996-2005. American Journal of Transplantation 2007; 7 (5 Part 2):1412-1423.</w:t>
      </w:r>
    </w:p>
    <w:p w14:paraId="02E51BC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 This article focuses on geographic variability in patient access to kidney transplantation in the United States. It examines geographic differences and trends in access rates to kidney transplantation, in the component rates of wait-listing, and of living and deceased donor transplantation. Using data from Centers for Medicare and Medicaid Services and the Organ Procurement and Transplantation Network/Scientific Registry of Transplant Recipients, we studied 700,000+ patients under 75, who began chronic dialysis treatment, received their first living donor kidney transplant, or were placed on the waiting list pre-emptively. Relative rates of wait-listing and transplantation by State were calculated using Cox regression models, adjusted for patient demographics. There were geographic differences in access to the kidney waiting list and to a kidney transplant. Adjusted wait-list rates ranged from 37% lower to 64% higher than the national average. The living donor rate ranged from 57% lower to 166% higher, while the deceased donor transplant rate ranged from 60% lower to 150% higher than the national average. In general, States with higher wait-listing rates tended to have lower transplantation rates and States with lower wait-listing rates had higher transplant rates. Six States demonstrated both high wait-listing and deceased donor transplantation rates while six others, plus D.C. and Puerto Rico, were below the national average for both parameters.</w:t>
      </w:r>
    </w:p>
    <w:p w14:paraId="2A68493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3. </w:t>
      </w:r>
      <w:proofErr w:type="spellStart"/>
      <w:r>
        <w:rPr>
          <w:rFonts w:ascii="Calibri" w:eastAsia="Calibri" w:hAnsi="Calibri" w:cs="Calibri"/>
          <w:color w:val="000000"/>
          <w:sz w:val="22"/>
        </w:rPr>
        <w:t>Satayathum</w:t>
      </w:r>
      <w:proofErr w:type="spellEnd"/>
      <w:r>
        <w:rPr>
          <w:rFonts w:ascii="Calibri" w:eastAsia="Calibri" w:hAnsi="Calibri" w:cs="Calibri"/>
          <w:color w:val="000000"/>
          <w:sz w:val="22"/>
        </w:rPr>
        <w:t xml:space="preserve"> S, Pisoni RL, McCullough KP, et al. Kidney transplantation and wait-listing rates from the international Dialysis Outcomes and Practice Patterns Study (DOPPS). Kidney Intl 2005 Jul; 68 (1):330-337.</w:t>
      </w:r>
    </w:p>
    <w:p w14:paraId="7DCC756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 BACKGROUND: The international Dialysis Outcomes and Practice Patterns Study (DOPPS I and II) allows description of variations in kidney transplantation and wait-listing from nationally representative samples of 18- to 65-year-old hemodialysis patients. The present study examines the health status and socioeconomic characteristics of United States patients, the role of for-profit versus not-for-profit status of dialysis facilities, and the likelihood of transplant wait-listing and transplantation rates.</w:t>
      </w:r>
    </w:p>
    <w:p w14:paraId="27BFEAE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METHODS: Analyses of transplantation rates were based on 5267 randomly selected DOPPS I patients in dialysis units in the United States, Europe, and Japan who received chronic hemodialysis therapy for at least 90 days in 2000. Left-truncated Cox regression was used to assess time to kidney transplantation. Logistic regression determined the odds of being transplant wait-listed for a cross-section of 1323 hemodialysis patients in the United States in 2000. Furthermore, kidney transplant wait-listing was determined in 12 countries from cross-sectional samples of DOPPS II hemodialysis patients in 2002 to 2003 (N= 4274).</w:t>
      </w:r>
    </w:p>
    <w:p w14:paraId="08A3395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RESULTS: Transplantation rates varied widely, from very low in Japan to 25-fold higher in the United States and 75-fold higher in Spain (both P values &lt;0.0001). Factors associated with higher rates of transplantation included younger age, nonblack race, less comorbidity, fewer years on dialysis, higher income, and higher education levels. The likelihood of being wait-listed showed wide variation internationally and by United States region but not by for-profit dialysis unit status within the United States.</w:t>
      </w:r>
    </w:p>
    <w:p w14:paraId="78DAC85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CONCLUSION: DOPPS I and II confirmed large variations in kidney transplantation rates by country, even after adjusting for differences in case mix. Facility size and, in the United States, profit status, were not associated with varying transplantation rates. International results consistently showed higher transplantation rates for younger, healthier, better-educated, and higher income patients.</w:t>
      </w:r>
    </w:p>
    <w:p w14:paraId="7C45A63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4. Patzer RE, Plantinga L, Krisher J, </w:t>
      </w:r>
      <w:proofErr w:type="spellStart"/>
      <w:r>
        <w:rPr>
          <w:rFonts w:ascii="Calibri" w:eastAsia="Calibri" w:hAnsi="Calibri" w:cs="Calibri"/>
          <w:color w:val="000000"/>
          <w:sz w:val="22"/>
        </w:rPr>
        <w:t>Pastan</w:t>
      </w:r>
      <w:proofErr w:type="spellEnd"/>
      <w:r>
        <w:rPr>
          <w:rFonts w:ascii="Calibri" w:eastAsia="Calibri" w:hAnsi="Calibri" w:cs="Calibri"/>
          <w:color w:val="000000"/>
          <w:sz w:val="22"/>
        </w:rPr>
        <w:t xml:space="preserve"> SO. Dialysis facility and network factors associated with low kidney transplantation rates among United States dialysis facilities. Am J Transplant. 2014 Jul; 14(7):1562-72.</w:t>
      </w:r>
    </w:p>
    <w:p w14:paraId="1706BE1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 Variability in transplant rates between different dialysis units has been noted, yet little is known about facility-level factors associated with low standardized transplant ratios (STRs) across the United States End-stage Renal Disease (ESRD) Network regions. We analyzed Centers for Medicare &amp; Medicaid Services Dialysis Facility Report data from 2007 to 2010 to examine facility-level factors associated with low STRs using multivariable mixed models. Among 4098 dialysis facilities treating 305 698 patients, there was wide variability in facility-level STRs across the 18 ESRD Networks. Four-year average STRs ranged from 0.69 (95% confidence interval [CI]: 0.64-0.73) in Network 6 (Southeastern Kidney Council) to 1.61 (95% CI: 1.47-1.76) in Network 1 (New England). Factors significantly associated with a lower STR (p&lt;0.0001) included for-profit status, facilities with higher percentage black patients, patients with no health insurance and patients with diabetes. A greater number of facility staff, more transplant centers per 10,000 ESRD patients and a higher percentage of patients who were employed or utilized peritoneal dialysis were associated with higher STRs. The lowest performing dialysis facilities were in the Southeastern United States. Understanding the modifiable facility-level factors associated with low transplant rates may inform interventions to improve access to transplantation.</w:t>
      </w:r>
    </w:p>
    <w:p w14:paraId="78B722B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5. Melanson TA, Gander JC, Rossi A, et al. Variation in Waitlisting Rates at the Dialysis Facility Level in the Context of Goals for Improving Kidney Health in the United States. Kidney International Reports 2021;6:1965-1968.</w:t>
      </w:r>
    </w:p>
    <w:p w14:paraId="24BAABD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 abstract.</w:t>
      </w:r>
    </w:p>
    <w:p w14:paraId="285EC17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6. Meier-</w:t>
      </w:r>
      <w:proofErr w:type="spellStart"/>
      <w:r>
        <w:rPr>
          <w:rFonts w:ascii="Calibri" w:eastAsia="Calibri" w:hAnsi="Calibri" w:cs="Calibri"/>
          <w:color w:val="000000"/>
          <w:sz w:val="22"/>
        </w:rPr>
        <w:t>Kriesche</w:t>
      </w:r>
      <w:proofErr w:type="spellEnd"/>
      <w:r>
        <w:rPr>
          <w:rFonts w:ascii="Calibri" w:eastAsia="Calibri" w:hAnsi="Calibri" w:cs="Calibri"/>
          <w:color w:val="000000"/>
          <w:sz w:val="22"/>
        </w:rPr>
        <w:t>, Herwig-Ulf, and Bruce Kaplan. "Waiting time on dialysis as the strongest modifiable risk factor for renal transplant outcomes: A Paired Donor Kidney Analysis." Transplantation 74.10 (2002): 1377-1381.</w:t>
      </w:r>
    </w:p>
    <w:p w14:paraId="5630460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 BACKGROUND: Waiting time on dialysis has been shown to be associated with worse outcomes after living and cadaveric transplantation. To validate and quantify end-stage renal disease (ESRD) time as an independent risk factor for kidney transplantation, we compared the outcome of paired donor kidneys, destined to patients who had ESRD more than 2 years compared to patients who had ESRD less than 6 months.</w:t>
      </w:r>
    </w:p>
    <w:p w14:paraId="14FB279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METHODS: We analyzed data available from the U.S. Renal Data System database between 1988 and 1998 by Kaplan-Meier estimates and Cox proportional hazards models to quantify the effect of ESRD time on paired cadaveric kidneys and on all cadaveric kidneys compared to living-donated kidneys.</w:t>
      </w:r>
    </w:p>
    <w:p w14:paraId="022A129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RESULTS: Five- and 10-year unadjusted graft survival rates were significantly worse in paired kidney recipients who had undergone more than 24 months of dialysis (58% and 29%, respectively) compared to paired kidney recipients who had undergone less than 6 months of dialysis (78% and 63%, respectively; P&lt;0.001 each). Ten-year overall adjusted graft survival for cadaveric transplants was 69% for preemptive transplants versus 39% for transplants after 24 months on dialysis. For living transplants, </w:t>
      </w:r>
      <w:r>
        <w:rPr>
          <w:rFonts w:ascii="Calibri" w:eastAsia="Calibri" w:hAnsi="Calibri" w:cs="Calibri"/>
          <w:color w:val="000000"/>
          <w:sz w:val="22"/>
        </w:rPr>
        <w:lastRenderedPageBreak/>
        <w:t>10-year overall adjusted graft survival was 75% for preemptive transplants versus 49% for transplants after 24 month on dialysis.</w:t>
      </w:r>
    </w:p>
    <w:p w14:paraId="2318CD3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CONCLUSIONS: ESRD time is arguably the strongest independent modifiable risk factor for renal transplant outcomes. Part of the advantage of living-donor versus cadaveric-donor transplantation may be explained by waiting time. This effect is dominant enough that a cadaveric renal transplant recipient with an ESRD time less than 6 months has the equivalent graft survival of living donor transplant recipients who wait on dialysis for more than 2 years.</w:t>
      </w:r>
    </w:p>
    <w:p w14:paraId="0985184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7. Meier-</w:t>
      </w:r>
      <w:proofErr w:type="spellStart"/>
      <w:r>
        <w:rPr>
          <w:rFonts w:ascii="Calibri" w:eastAsia="Calibri" w:hAnsi="Calibri" w:cs="Calibri"/>
          <w:color w:val="000000"/>
          <w:sz w:val="22"/>
        </w:rPr>
        <w:t>Kriesche</w:t>
      </w:r>
      <w:proofErr w:type="spellEnd"/>
      <w:r>
        <w:rPr>
          <w:rFonts w:ascii="Calibri" w:eastAsia="Calibri" w:hAnsi="Calibri" w:cs="Calibri"/>
          <w:color w:val="000000"/>
          <w:sz w:val="22"/>
        </w:rPr>
        <w:t xml:space="preserve">, H. U., Port, F. K., Ojo, A. O., Rudich, S. M., Hanson, J. A., </w:t>
      </w:r>
      <w:proofErr w:type="spellStart"/>
      <w:r>
        <w:rPr>
          <w:rFonts w:ascii="Calibri" w:eastAsia="Calibri" w:hAnsi="Calibri" w:cs="Calibri"/>
          <w:color w:val="000000"/>
          <w:sz w:val="22"/>
        </w:rPr>
        <w:t>Cibrik</w:t>
      </w:r>
      <w:proofErr w:type="spellEnd"/>
      <w:r>
        <w:rPr>
          <w:rFonts w:ascii="Calibri" w:eastAsia="Calibri" w:hAnsi="Calibri" w:cs="Calibri"/>
          <w:color w:val="000000"/>
          <w:sz w:val="22"/>
        </w:rPr>
        <w:t>, D. M., ... &amp; Kaplan, B. (2000). Effect of waiting time on renal transplant outcome. Kidney international, 58(3), 1311-1317.</w:t>
      </w:r>
    </w:p>
    <w:p w14:paraId="5200A10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 BACKGROUND: Numerous factors are known to impact on patient survival after renal transplantation. Recent studies have confirmed a survival advantage for renal transplant patients over those waiting on dialysis. We aimed to investigate the hypothesis that longer waiting times are more deleterious than shorter waiting times, that is, to detect a "dose effect" for waiting time.</w:t>
      </w:r>
    </w:p>
    <w:p w14:paraId="7D2F39F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METHODS: We analyzed 73,103 primary adult renal transplants registered at the United States Renal Data System Registry from 1988 to 1997 for the primary endpoints of death with functioning graft and death-censored graft failure by Cox proportional hazard models. All models were corrected for donor and recipient demographics and other factors known to affect outcome after kidney transplantation.</w:t>
      </w:r>
    </w:p>
    <w:p w14:paraId="17D005E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RESULTS: A longer waiting time on dialysis is a significant risk factor for death-censored graft survival and patient death with functioning graft after renal transplantation (P &lt; 0.001 each). Relative to preemptive transplants, waiting times of 6 to 12 months, 12 to 24 months, 24 to 36, 36 to 48, and over 48 months confer a 21, 28, 41, 53, and 72% increase in mortality risk after transplantation, respectively. Relative to preemptive transplants, waiting times of 0 to 6 months, 6 to 12 months, 12 to 24 months, and over 24 months confer a 17, 37, 55, and 68% increase in risk for death-censored graft loss after transplantation, respectively.</w:t>
      </w:r>
    </w:p>
    <w:p w14:paraId="227E95D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CONCLUSIONS: Longer waiting times on dialysis negatively impact on post-transplant graft and patient survival. These data strongly support the hypothesis that patients who reach end-stage renal disease should receive a renal transplant as early as possible in order to enhance their chances of long-term survival.</w:t>
      </w:r>
    </w:p>
    <w:p w14:paraId="6D46C0F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8. Schold JD, Huml AM, Poggio ED et al. Patients with High Priority for Kidney Transplant Who Are Not Given Expedited Placement on the Transplant Waiting List Represent Lost Opportunities. J Am Soc Nephrol 2021;32:1733-1746.</w:t>
      </w:r>
    </w:p>
    <w:p w14:paraId="4E66244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 BACKGROUND: Kidney transplantation is associated with the best outcomes for most patients with ESKD. The national Kidney Allocation System prioritizes patients with Estimated Post-Transplant Survival (EPTS) scores in the top 20% for expedited access to optimal deceased donor kidneys.</w:t>
      </w:r>
    </w:p>
    <w:p w14:paraId="3F8B134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METHODS: We studied adults aged 18 years in the United States Renal Data System with top 20% EPTS scores who had been preemptively waitlisted or initiated dialysis in 2015–2017. We evaluated time to waitlist placement, transplantation, and mortality with unadjusted and multivariable survival models.</w:t>
      </w:r>
    </w:p>
    <w:p w14:paraId="556EA5C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RESULTS: Of 42,445 patients with top 20% EPTS scores (mean age, 38.0 years; 57% male; 59% White patients, and 31% Black patients), 7922 were preemptively waitlisted. Among 34,523 patients initiating </w:t>
      </w:r>
      <w:r>
        <w:rPr>
          <w:rFonts w:ascii="Calibri" w:eastAsia="Calibri" w:hAnsi="Calibri" w:cs="Calibri"/>
          <w:color w:val="000000"/>
          <w:sz w:val="22"/>
        </w:rPr>
        <w:lastRenderedPageBreak/>
        <w:t>dialysis, the 3-year cumulative waitlist placement incidence was 37%. Numerous factors independently associated with waitlisting included race, income, and having noncommercial insurance. For example, waitlisting was less likely for Black versus White patients, and for patients in the lowest-income neighborhoods versus those in the highest-income neighborhoods. Among patients initiating dialysis, 61% lost their top 20% EPTS status within 30 months versus 18% of patients who were preemptively listed. The 3-year incidence of deceased and living donor transplantation was 5% and 6%, respectively, for patients who initiated dialysis and 26% and 44%, respectively, for patients who were preemptively listed.</w:t>
      </w:r>
    </w:p>
    <w:p w14:paraId="10DB15E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CONCLUSIONS: Many patients with ESKD qualifying with top 20% EPTS status are not placed on the transplant waiting list in a timely manner, with significant variation on the basis of demographic and social factors. Patients who are preemptively listed are more likely to receive benefits of top 20% EPTS status. Efforts to expedite care for qualifying candidates are needed, and automated transplant referral for patients with the best prognoses should be considered.</w:t>
      </w:r>
    </w:p>
    <w:p w14:paraId="3FE4A28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9. Schold J and Meier-Kreische HU. Which Renal Transplant Candidates Should Accept Marginal Kidneys in Exchange for a Shorter Waiting Time on Dialysis? Clin J Am Soc Nephrol 2006;1:532-538.</w:t>
      </w:r>
    </w:p>
    <w:p w14:paraId="413CCE5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 Renal transplantation has been established as a life-saving procedure for patients with ESRD. Deceased donor kidneys convey variable life expectancies for recipients. However, limited information is available to guide patients and patient advocates concerning the appropriateness to list for expanded criteria donations (ECD). Half-lives for wait-listed transplant candidates were estimated from the time of ESRD onset on the basis of recipient age, primary diagnosis, and organ quality using survival models. In addition, we evaluated the likelihood of candidates’ receiving a transplant on the basis of age and other characteristics by duration of waiting time. Older patients (65) had longer life expectancy when they accepted an ECD within 2 yr of ESRD onset (5.6 yr) compared with waiting for a standard kidney (5.3 yr) or a living donation (5.5 yr) after 4 yr of dialysis. Conversely, younger recipients (18 to 39 yr) had longer life expectancy with a living donation (27.6 yr) or standard kidney (26.4 yr) after 4 yr on dialysis compared with an ECD after 2 yr of dialysis (17.6 yr). Increased candidate age was associated with the likelihood of not receiving a transplant during the period on the waiting list as a result of mortality and separately related to morbidity and delisting. Older and frailer transplant candidates benefit from accepting lower quality organs early after ESRD, whereas younger and healthier patients benefit from receiving higher quality organs even with longer dialysis exposure. These findings are important for transplant candidates and advocates decision-making and for potential further implementation in allocation policy.</w:t>
      </w:r>
    </w:p>
    <w:p w14:paraId="54C3E41F" w14:textId="77777777" w:rsidR="00A77B3E" w:rsidRDefault="00A77B3E">
      <w:pPr>
        <w:spacing w:after="240"/>
        <w:rPr>
          <w:rFonts w:ascii="Calibri" w:eastAsia="Calibri" w:hAnsi="Calibri" w:cs="Calibri"/>
          <w:color w:val="000000"/>
          <w:sz w:val="22"/>
        </w:rPr>
      </w:pPr>
    </w:p>
    <w:p w14:paraId="7A136C46" w14:textId="77777777" w:rsidR="00A77B3E" w:rsidRDefault="00A77B3E">
      <w:pPr>
        <w:spacing w:after="240"/>
        <w:rPr>
          <w:rFonts w:ascii="Calibri" w:eastAsia="Calibri" w:hAnsi="Calibri" w:cs="Calibri"/>
          <w:color w:val="000000"/>
          <w:sz w:val="22"/>
        </w:rPr>
      </w:pPr>
    </w:p>
    <w:p w14:paraId="562DB2A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1b.02) Provide performance scores on the measure as specified (current and over time) at the specified level of analysis.</w:t>
      </w:r>
    </w:p>
    <w:p w14:paraId="322BF9B4"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Include mean, std dev, min, max, interquartile range, and scores by decile. Describe the data source including number of measured entities; number of patients; dates of data; if a sample, characteristics of the entities include. This information also will be used to address the sub-criterion on improvement (4b) under Usability and Use.</w:t>
      </w:r>
    </w:p>
    <w:p w14:paraId="5C172EF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After applying all exclusion criteria, we evaluated the PSWR performance scores for all dialysis practitioner group practices that had at least 11 patients and at least 2 expected events in the evaluation period 2017 through 2019. The mean value of PSWR was 1.03. The interquartile range (Q3-Q1) is 0.63, with the bottom quartile of practitioner group practices having 33% lower, versus the top quartile having 30% higher, waitlisting or living-donor transplant rates among prevalent dialysis patients than the national average. Dates of data: January 1, 2017 – December 31, 2019.</w:t>
      </w:r>
    </w:p>
    <w:p w14:paraId="00721CB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Number of patients: 362,093</w:t>
      </w:r>
    </w:p>
    <w:p w14:paraId="34C36D0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Number of practitioner groups: 2,022</w:t>
      </w:r>
    </w:p>
    <w:p w14:paraId="483B286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1:</w:t>
      </w:r>
      <w:r>
        <w:rPr>
          <w:rFonts w:ascii="Calibri" w:eastAsia="Calibri" w:hAnsi="Calibri" w:cs="Calibri"/>
          <w:color w:val="000000"/>
          <w:sz w:val="22"/>
        </w:rPr>
        <w:t xml:space="preserve"> Descriptive statistics of PSWR overall and by decile, 2017-2019</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 Descriptive statistics of PSWR overall and by decile, 2017-2019"/>
        <w:tblDescription w:val="Table 1: Descriptive statistics of PSWR overall and by decile, 2017-2019"/>
      </w:tblPr>
      <w:tblGrid>
        <w:gridCol w:w="1130"/>
        <w:gridCol w:w="1075"/>
        <w:gridCol w:w="966"/>
        <w:gridCol w:w="1321"/>
        <w:gridCol w:w="1358"/>
        <w:gridCol w:w="1146"/>
        <w:gridCol w:w="1177"/>
        <w:gridCol w:w="1177"/>
      </w:tblGrid>
      <w:tr w:rsidR="00233F1E" w14:paraId="0292F579" w14:textId="77777777">
        <w:trPr>
          <w:cantSplit/>
          <w:trHeight w:val="615"/>
          <w:tblHeader/>
        </w:trPr>
        <w:tc>
          <w:tcPr>
            <w:tcW w:w="1149" w:type="dxa"/>
          </w:tcPr>
          <w:p w14:paraId="208A8C05"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 *</w:t>
            </w:r>
          </w:p>
        </w:tc>
        <w:tc>
          <w:tcPr>
            <w:tcW w:w="1096" w:type="dxa"/>
          </w:tcPr>
          <w:p w14:paraId="7E2A504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Mean </w:t>
            </w:r>
          </w:p>
        </w:tc>
        <w:tc>
          <w:tcPr>
            <w:tcW w:w="993" w:type="dxa"/>
          </w:tcPr>
          <w:p w14:paraId="3856203D"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Std Dev</w:t>
            </w:r>
          </w:p>
        </w:tc>
        <w:tc>
          <w:tcPr>
            <w:tcW w:w="1337" w:type="dxa"/>
          </w:tcPr>
          <w:p w14:paraId="5B1F8E6A"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Minimum</w:t>
            </w:r>
          </w:p>
        </w:tc>
        <w:tc>
          <w:tcPr>
            <w:tcW w:w="1374" w:type="dxa"/>
          </w:tcPr>
          <w:p w14:paraId="64A75292"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Maximum</w:t>
            </w:r>
          </w:p>
        </w:tc>
        <w:tc>
          <w:tcPr>
            <w:tcW w:w="1163" w:type="dxa"/>
          </w:tcPr>
          <w:p w14:paraId="0217919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Median</w:t>
            </w:r>
          </w:p>
        </w:tc>
        <w:tc>
          <w:tcPr>
            <w:tcW w:w="1193" w:type="dxa"/>
          </w:tcPr>
          <w:p w14:paraId="5D3A276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Lower Quartile</w:t>
            </w:r>
          </w:p>
        </w:tc>
        <w:tc>
          <w:tcPr>
            <w:tcW w:w="1193" w:type="dxa"/>
          </w:tcPr>
          <w:p w14:paraId="1B074FF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Upper Quartile</w:t>
            </w:r>
          </w:p>
        </w:tc>
      </w:tr>
      <w:tr w:rsidR="00233F1E" w14:paraId="5D829BD9" w14:textId="77777777">
        <w:trPr>
          <w:cantSplit/>
          <w:trHeight w:val="315"/>
        </w:trPr>
        <w:tc>
          <w:tcPr>
            <w:tcW w:w="1149" w:type="dxa"/>
          </w:tcPr>
          <w:p w14:paraId="5ADFCE6A"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Overall</w:t>
            </w:r>
          </w:p>
        </w:tc>
        <w:tc>
          <w:tcPr>
            <w:tcW w:w="1096" w:type="dxa"/>
          </w:tcPr>
          <w:p w14:paraId="56FE9FD6"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1.03</w:t>
            </w:r>
          </w:p>
        </w:tc>
        <w:tc>
          <w:tcPr>
            <w:tcW w:w="993" w:type="dxa"/>
          </w:tcPr>
          <w:p w14:paraId="0146B1BB"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0.55</w:t>
            </w:r>
          </w:p>
        </w:tc>
        <w:tc>
          <w:tcPr>
            <w:tcW w:w="1337" w:type="dxa"/>
          </w:tcPr>
          <w:p w14:paraId="101D165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46F00045"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6.84</w:t>
            </w:r>
          </w:p>
        </w:tc>
        <w:tc>
          <w:tcPr>
            <w:tcW w:w="1163" w:type="dxa"/>
          </w:tcPr>
          <w:p w14:paraId="0047408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0.94</w:t>
            </w:r>
          </w:p>
        </w:tc>
        <w:tc>
          <w:tcPr>
            <w:tcW w:w="1193" w:type="dxa"/>
          </w:tcPr>
          <w:p w14:paraId="48835AF3"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0.67</w:t>
            </w:r>
          </w:p>
        </w:tc>
        <w:tc>
          <w:tcPr>
            <w:tcW w:w="1193" w:type="dxa"/>
          </w:tcPr>
          <w:p w14:paraId="7245094C"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1.30</w:t>
            </w:r>
          </w:p>
        </w:tc>
      </w:tr>
      <w:tr w:rsidR="00233F1E" w14:paraId="03705FE7" w14:textId="77777777">
        <w:trPr>
          <w:cantSplit/>
          <w:trHeight w:val="315"/>
        </w:trPr>
        <w:tc>
          <w:tcPr>
            <w:tcW w:w="1149" w:type="dxa"/>
          </w:tcPr>
          <w:p w14:paraId="76A1BBC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Decile</w:t>
            </w:r>
          </w:p>
        </w:tc>
        <w:tc>
          <w:tcPr>
            <w:tcW w:w="1096" w:type="dxa"/>
          </w:tcPr>
          <w:p w14:paraId="35ACD8D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993" w:type="dxa"/>
          </w:tcPr>
          <w:p w14:paraId="4307A88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337" w:type="dxa"/>
          </w:tcPr>
          <w:p w14:paraId="17D8A5D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374" w:type="dxa"/>
          </w:tcPr>
          <w:p w14:paraId="6D5E494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163" w:type="dxa"/>
          </w:tcPr>
          <w:p w14:paraId="552DD00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193" w:type="dxa"/>
          </w:tcPr>
          <w:p w14:paraId="599389D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193" w:type="dxa"/>
          </w:tcPr>
          <w:p w14:paraId="0C1B03E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r>
      <w:tr w:rsidR="00233F1E" w14:paraId="02BFBFDF" w14:textId="77777777">
        <w:trPr>
          <w:cantSplit/>
          <w:trHeight w:val="315"/>
        </w:trPr>
        <w:tc>
          <w:tcPr>
            <w:tcW w:w="1149" w:type="dxa"/>
          </w:tcPr>
          <w:p w14:paraId="091BC4E3"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w:t>
            </w:r>
          </w:p>
        </w:tc>
        <w:tc>
          <w:tcPr>
            <w:tcW w:w="1096" w:type="dxa"/>
          </w:tcPr>
          <w:p w14:paraId="095CF323"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0.25</w:t>
            </w:r>
          </w:p>
        </w:tc>
        <w:tc>
          <w:tcPr>
            <w:tcW w:w="993" w:type="dxa"/>
          </w:tcPr>
          <w:p w14:paraId="4DE841C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0.15</w:t>
            </w:r>
          </w:p>
        </w:tc>
        <w:tc>
          <w:tcPr>
            <w:tcW w:w="1337" w:type="dxa"/>
          </w:tcPr>
          <w:p w14:paraId="62316F9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1D9332C6"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0.43</w:t>
            </w:r>
          </w:p>
        </w:tc>
        <w:tc>
          <w:tcPr>
            <w:tcW w:w="1163" w:type="dxa"/>
          </w:tcPr>
          <w:p w14:paraId="330FA8E0"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0.31</w:t>
            </w:r>
          </w:p>
        </w:tc>
        <w:tc>
          <w:tcPr>
            <w:tcW w:w="1193" w:type="dxa"/>
          </w:tcPr>
          <w:p w14:paraId="7ACE762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0.16</w:t>
            </w:r>
          </w:p>
        </w:tc>
        <w:tc>
          <w:tcPr>
            <w:tcW w:w="1193" w:type="dxa"/>
          </w:tcPr>
          <w:p w14:paraId="5D96F19B"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0.37</w:t>
            </w:r>
          </w:p>
        </w:tc>
      </w:tr>
      <w:tr w:rsidR="00233F1E" w14:paraId="17DAF6DE" w14:textId="77777777">
        <w:trPr>
          <w:cantSplit/>
          <w:trHeight w:val="315"/>
        </w:trPr>
        <w:tc>
          <w:tcPr>
            <w:tcW w:w="1149" w:type="dxa"/>
          </w:tcPr>
          <w:p w14:paraId="11308B75"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2</w:t>
            </w:r>
          </w:p>
        </w:tc>
        <w:tc>
          <w:tcPr>
            <w:tcW w:w="1096" w:type="dxa"/>
          </w:tcPr>
          <w:p w14:paraId="0E62B8E3"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0.52</w:t>
            </w:r>
          </w:p>
        </w:tc>
        <w:tc>
          <w:tcPr>
            <w:tcW w:w="993" w:type="dxa"/>
          </w:tcPr>
          <w:p w14:paraId="7C5B9B7A"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0.05</w:t>
            </w:r>
          </w:p>
        </w:tc>
        <w:tc>
          <w:tcPr>
            <w:tcW w:w="1337" w:type="dxa"/>
          </w:tcPr>
          <w:p w14:paraId="61688E4E"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0.43</w:t>
            </w:r>
          </w:p>
        </w:tc>
        <w:tc>
          <w:tcPr>
            <w:tcW w:w="1374" w:type="dxa"/>
          </w:tcPr>
          <w:p w14:paraId="03283143"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0.60</w:t>
            </w:r>
          </w:p>
        </w:tc>
        <w:tc>
          <w:tcPr>
            <w:tcW w:w="1163" w:type="dxa"/>
          </w:tcPr>
          <w:p w14:paraId="37F6928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0.53</w:t>
            </w:r>
          </w:p>
        </w:tc>
        <w:tc>
          <w:tcPr>
            <w:tcW w:w="1193" w:type="dxa"/>
          </w:tcPr>
          <w:p w14:paraId="0960584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0.49</w:t>
            </w:r>
          </w:p>
        </w:tc>
        <w:tc>
          <w:tcPr>
            <w:tcW w:w="1193" w:type="dxa"/>
          </w:tcPr>
          <w:p w14:paraId="502789B6"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0.57</w:t>
            </w:r>
          </w:p>
        </w:tc>
      </w:tr>
      <w:tr w:rsidR="00233F1E" w14:paraId="64B8CE21" w14:textId="77777777">
        <w:trPr>
          <w:cantSplit/>
          <w:trHeight w:val="315"/>
        </w:trPr>
        <w:tc>
          <w:tcPr>
            <w:tcW w:w="1149" w:type="dxa"/>
          </w:tcPr>
          <w:p w14:paraId="463D5DC4"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3</w:t>
            </w:r>
          </w:p>
        </w:tc>
        <w:tc>
          <w:tcPr>
            <w:tcW w:w="1096" w:type="dxa"/>
          </w:tcPr>
          <w:p w14:paraId="3B430E1B"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0.67</w:t>
            </w:r>
          </w:p>
        </w:tc>
        <w:tc>
          <w:tcPr>
            <w:tcW w:w="993" w:type="dxa"/>
          </w:tcPr>
          <w:p w14:paraId="1680FCD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0.04</w:t>
            </w:r>
          </w:p>
        </w:tc>
        <w:tc>
          <w:tcPr>
            <w:tcW w:w="1337" w:type="dxa"/>
          </w:tcPr>
          <w:p w14:paraId="6D70DEE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0.60</w:t>
            </w:r>
          </w:p>
        </w:tc>
        <w:tc>
          <w:tcPr>
            <w:tcW w:w="1374" w:type="dxa"/>
          </w:tcPr>
          <w:p w14:paraId="1E244E76"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0.73</w:t>
            </w:r>
          </w:p>
        </w:tc>
        <w:tc>
          <w:tcPr>
            <w:tcW w:w="1163" w:type="dxa"/>
          </w:tcPr>
          <w:p w14:paraId="71E2D92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0.67</w:t>
            </w:r>
          </w:p>
        </w:tc>
        <w:tc>
          <w:tcPr>
            <w:tcW w:w="1193" w:type="dxa"/>
          </w:tcPr>
          <w:p w14:paraId="26B1E0F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0.64</w:t>
            </w:r>
          </w:p>
        </w:tc>
        <w:tc>
          <w:tcPr>
            <w:tcW w:w="1193" w:type="dxa"/>
          </w:tcPr>
          <w:p w14:paraId="11116E15"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0.70</w:t>
            </w:r>
          </w:p>
        </w:tc>
      </w:tr>
      <w:tr w:rsidR="00233F1E" w14:paraId="0FD4C96C" w14:textId="77777777">
        <w:trPr>
          <w:cantSplit/>
          <w:trHeight w:val="315"/>
        </w:trPr>
        <w:tc>
          <w:tcPr>
            <w:tcW w:w="1149" w:type="dxa"/>
          </w:tcPr>
          <w:p w14:paraId="20C8B22A"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4</w:t>
            </w:r>
          </w:p>
        </w:tc>
        <w:tc>
          <w:tcPr>
            <w:tcW w:w="1096" w:type="dxa"/>
          </w:tcPr>
          <w:p w14:paraId="4E67B77E"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0.78</w:t>
            </w:r>
          </w:p>
        </w:tc>
        <w:tc>
          <w:tcPr>
            <w:tcW w:w="993" w:type="dxa"/>
          </w:tcPr>
          <w:p w14:paraId="7BF74C7D"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0.03</w:t>
            </w:r>
          </w:p>
        </w:tc>
        <w:tc>
          <w:tcPr>
            <w:tcW w:w="1337" w:type="dxa"/>
          </w:tcPr>
          <w:p w14:paraId="593E50F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0.73</w:t>
            </w:r>
          </w:p>
        </w:tc>
        <w:tc>
          <w:tcPr>
            <w:tcW w:w="1374" w:type="dxa"/>
          </w:tcPr>
          <w:p w14:paraId="46B41F5E"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0.84</w:t>
            </w:r>
          </w:p>
        </w:tc>
        <w:tc>
          <w:tcPr>
            <w:tcW w:w="1163" w:type="dxa"/>
          </w:tcPr>
          <w:p w14:paraId="07242F9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0.78</w:t>
            </w:r>
          </w:p>
        </w:tc>
        <w:tc>
          <w:tcPr>
            <w:tcW w:w="1193" w:type="dxa"/>
          </w:tcPr>
          <w:p w14:paraId="12438B6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0.76</w:t>
            </w:r>
          </w:p>
        </w:tc>
        <w:tc>
          <w:tcPr>
            <w:tcW w:w="1193" w:type="dxa"/>
          </w:tcPr>
          <w:p w14:paraId="4447C170"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0.82</w:t>
            </w:r>
          </w:p>
        </w:tc>
      </w:tr>
      <w:tr w:rsidR="00233F1E" w14:paraId="13C1EA99" w14:textId="77777777">
        <w:trPr>
          <w:cantSplit/>
          <w:trHeight w:val="315"/>
        </w:trPr>
        <w:tc>
          <w:tcPr>
            <w:tcW w:w="1149" w:type="dxa"/>
          </w:tcPr>
          <w:p w14:paraId="713FDEA4"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5</w:t>
            </w:r>
          </w:p>
        </w:tc>
        <w:tc>
          <w:tcPr>
            <w:tcW w:w="1096" w:type="dxa"/>
          </w:tcPr>
          <w:p w14:paraId="3A4D3270"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0.89</w:t>
            </w:r>
          </w:p>
        </w:tc>
        <w:tc>
          <w:tcPr>
            <w:tcW w:w="993" w:type="dxa"/>
          </w:tcPr>
          <w:p w14:paraId="3E94CC14"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0.03</w:t>
            </w:r>
          </w:p>
        </w:tc>
        <w:tc>
          <w:tcPr>
            <w:tcW w:w="1337" w:type="dxa"/>
          </w:tcPr>
          <w:p w14:paraId="6D65E97D"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0.84</w:t>
            </w:r>
          </w:p>
        </w:tc>
        <w:tc>
          <w:tcPr>
            <w:tcW w:w="1374" w:type="dxa"/>
          </w:tcPr>
          <w:p w14:paraId="79BB5286"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0.94</w:t>
            </w:r>
          </w:p>
        </w:tc>
        <w:tc>
          <w:tcPr>
            <w:tcW w:w="1163" w:type="dxa"/>
          </w:tcPr>
          <w:p w14:paraId="2259D11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0.89</w:t>
            </w:r>
          </w:p>
        </w:tc>
        <w:tc>
          <w:tcPr>
            <w:tcW w:w="1193" w:type="dxa"/>
          </w:tcPr>
          <w:p w14:paraId="6AB76DA4"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0.87</w:t>
            </w:r>
          </w:p>
        </w:tc>
        <w:tc>
          <w:tcPr>
            <w:tcW w:w="1193" w:type="dxa"/>
          </w:tcPr>
          <w:p w14:paraId="19F62A4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0.92</w:t>
            </w:r>
          </w:p>
        </w:tc>
      </w:tr>
      <w:tr w:rsidR="00233F1E" w14:paraId="1E85718F" w14:textId="77777777">
        <w:trPr>
          <w:cantSplit/>
          <w:trHeight w:val="315"/>
        </w:trPr>
        <w:tc>
          <w:tcPr>
            <w:tcW w:w="1149" w:type="dxa"/>
          </w:tcPr>
          <w:p w14:paraId="1151B784"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6</w:t>
            </w:r>
          </w:p>
        </w:tc>
        <w:tc>
          <w:tcPr>
            <w:tcW w:w="1096" w:type="dxa"/>
          </w:tcPr>
          <w:p w14:paraId="06FA04D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1.01</w:t>
            </w:r>
          </w:p>
        </w:tc>
        <w:tc>
          <w:tcPr>
            <w:tcW w:w="993" w:type="dxa"/>
          </w:tcPr>
          <w:p w14:paraId="409792CD"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0.04</w:t>
            </w:r>
          </w:p>
        </w:tc>
        <w:tc>
          <w:tcPr>
            <w:tcW w:w="1337" w:type="dxa"/>
          </w:tcPr>
          <w:p w14:paraId="11E7AA40"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0.94</w:t>
            </w:r>
          </w:p>
        </w:tc>
        <w:tc>
          <w:tcPr>
            <w:tcW w:w="1374" w:type="dxa"/>
          </w:tcPr>
          <w:p w14:paraId="7F7B22AD"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1.07</w:t>
            </w:r>
          </w:p>
        </w:tc>
        <w:tc>
          <w:tcPr>
            <w:tcW w:w="1163" w:type="dxa"/>
          </w:tcPr>
          <w:p w14:paraId="31EE475A"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1.01</w:t>
            </w:r>
          </w:p>
        </w:tc>
        <w:tc>
          <w:tcPr>
            <w:tcW w:w="1193" w:type="dxa"/>
          </w:tcPr>
          <w:p w14:paraId="1D340EF4"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0.98</w:t>
            </w:r>
          </w:p>
        </w:tc>
        <w:tc>
          <w:tcPr>
            <w:tcW w:w="1193" w:type="dxa"/>
          </w:tcPr>
          <w:p w14:paraId="712E7683"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1.04</w:t>
            </w:r>
          </w:p>
        </w:tc>
      </w:tr>
      <w:tr w:rsidR="00233F1E" w14:paraId="2A17742D" w14:textId="77777777">
        <w:trPr>
          <w:cantSplit/>
          <w:trHeight w:val="315"/>
        </w:trPr>
        <w:tc>
          <w:tcPr>
            <w:tcW w:w="1149" w:type="dxa"/>
          </w:tcPr>
          <w:p w14:paraId="0062391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7</w:t>
            </w:r>
          </w:p>
        </w:tc>
        <w:tc>
          <w:tcPr>
            <w:tcW w:w="1096" w:type="dxa"/>
          </w:tcPr>
          <w:p w14:paraId="53340AE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1.14</w:t>
            </w:r>
          </w:p>
        </w:tc>
        <w:tc>
          <w:tcPr>
            <w:tcW w:w="993" w:type="dxa"/>
          </w:tcPr>
          <w:p w14:paraId="0E9335E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0.04</w:t>
            </w:r>
          </w:p>
        </w:tc>
        <w:tc>
          <w:tcPr>
            <w:tcW w:w="1337" w:type="dxa"/>
          </w:tcPr>
          <w:p w14:paraId="4088D6E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1.07</w:t>
            </w:r>
          </w:p>
        </w:tc>
        <w:tc>
          <w:tcPr>
            <w:tcW w:w="1374" w:type="dxa"/>
          </w:tcPr>
          <w:p w14:paraId="5CA96E40"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1.21</w:t>
            </w:r>
          </w:p>
        </w:tc>
        <w:tc>
          <w:tcPr>
            <w:tcW w:w="1163" w:type="dxa"/>
          </w:tcPr>
          <w:p w14:paraId="6AF783A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1.13</w:t>
            </w:r>
          </w:p>
        </w:tc>
        <w:tc>
          <w:tcPr>
            <w:tcW w:w="1193" w:type="dxa"/>
          </w:tcPr>
          <w:p w14:paraId="3481DDC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1.10</w:t>
            </w:r>
          </w:p>
        </w:tc>
        <w:tc>
          <w:tcPr>
            <w:tcW w:w="1193" w:type="dxa"/>
          </w:tcPr>
          <w:p w14:paraId="7525115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1.17</w:t>
            </w:r>
          </w:p>
        </w:tc>
      </w:tr>
      <w:tr w:rsidR="00233F1E" w14:paraId="7A0CF4B4" w14:textId="77777777">
        <w:trPr>
          <w:cantSplit/>
          <w:trHeight w:val="315"/>
        </w:trPr>
        <w:tc>
          <w:tcPr>
            <w:tcW w:w="1149" w:type="dxa"/>
          </w:tcPr>
          <w:p w14:paraId="60D0AB1A"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8</w:t>
            </w:r>
          </w:p>
        </w:tc>
        <w:tc>
          <w:tcPr>
            <w:tcW w:w="1096" w:type="dxa"/>
          </w:tcPr>
          <w:p w14:paraId="4040EC9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1.30</w:t>
            </w:r>
          </w:p>
        </w:tc>
        <w:tc>
          <w:tcPr>
            <w:tcW w:w="993" w:type="dxa"/>
          </w:tcPr>
          <w:p w14:paraId="15C16F7E"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0.05</w:t>
            </w:r>
          </w:p>
        </w:tc>
        <w:tc>
          <w:tcPr>
            <w:tcW w:w="1337" w:type="dxa"/>
          </w:tcPr>
          <w:p w14:paraId="38DEFA4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1.21</w:t>
            </w:r>
          </w:p>
        </w:tc>
        <w:tc>
          <w:tcPr>
            <w:tcW w:w="1374" w:type="dxa"/>
          </w:tcPr>
          <w:p w14:paraId="5D3571C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1.39</w:t>
            </w:r>
          </w:p>
        </w:tc>
        <w:tc>
          <w:tcPr>
            <w:tcW w:w="1163" w:type="dxa"/>
          </w:tcPr>
          <w:p w14:paraId="6659D6C6"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1.30</w:t>
            </w:r>
          </w:p>
        </w:tc>
        <w:tc>
          <w:tcPr>
            <w:tcW w:w="1193" w:type="dxa"/>
          </w:tcPr>
          <w:p w14:paraId="1F9145B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1.25</w:t>
            </w:r>
          </w:p>
        </w:tc>
        <w:tc>
          <w:tcPr>
            <w:tcW w:w="1193" w:type="dxa"/>
          </w:tcPr>
          <w:p w14:paraId="232C6AE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1.35</w:t>
            </w:r>
          </w:p>
        </w:tc>
      </w:tr>
      <w:tr w:rsidR="00233F1E" w14:paraId="64DF09EB" w14:textId="77777777">
        <w:trPr>
          <w:cantSplit/>
          <w:trHeight w:val="315"/>
        </w:trPr>
        <w:tc>
          <w:tcPr>
            <w:tcW w:w="1149" w:type="dxa"/>
          </w:tcPr>
          <w:p w14:paraId="5E149BB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9</w:t>
            </w:r>
          </w:p>
        </w:tc>
        <w:tc>
          <w:tcPr>
            <w:tcW w:w="1096" w:type="dxa"/>
          </w:tcPr>
          <w:p w14:paraId="57A6C546"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1.55</w:t>
            </w:r>
          </w:p>
        </w:tc>
        <w:tc>
          <w:tcPr>
            <w:tcW w:w="993" w:type="dxa"/>
          </w:tcPr>
          <w:p w14:paraId="33EAE9B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0.10</w:t>
            </w:r>
          </w:p>
        </w:tc>
        <w:tc>
          <w:tcPr>
            <w:tcW w:w="1337" w:type="dxa"/>
          </w:tcPr>
          <w:p w14:paraId="56140E4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1.40</w:t>
            </w:r>
          </w:p>
        </w:tc>
        <w:tc>
          <w:tcPr>
            <w:tcW w:w="1374" w:type="dxa"/>
          </w:tcPr>
          <w:p w14:paraId="5A74B7F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1.74</w:t>
            </w:r>
          </w:p>
        </w:tc>
        <w:tc>
          <w:tcPr>
            <w:tcW w:w="1163" w:type="dxa"/>
          </w:tcPr>
          <w:p w14:paraId="4AC2A0CD"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1.55</w:t>
            </w:r>
          </w:p>
        </w:tc>
        <w:tc>
          <w:tcPr>
            <w:tcW w:w="1193" w:type="dxa"/>
          </w:tcPr>
          <w:p w14:paraId="279FAE0B"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1.47</w:t>
            </w:r>
          </w:p>
        </w:tc>
        <w:tc>
          <w:tcPr>
            <w:tcW w:w="1193" w:type="dxa"/>
          </w:tcPr>
          <w:p w14:paraId="33E4A01B"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1.63</w:t>
            </w:r>
          </w:p>
        </w:tc>
      </w:tr>
      <w:tr w:rsidR="00233F1E" w14:paraId="46F12DD4" w14:textId="77777777">
        <w:trPr>
          <w:cantSplit/>
          <w:trHeight w:val="315"/>
        </w:trPr>
        <w:tc>
          <w:tcPr>
            <w:tcW w:w="1149" w:type="dxa"/>
          </w:tcPr>
          <w:p w14:paraId="5B8C5B9B"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10</w:t>
            </w:r>
          </w:p>
        </w:tc>
        <w:tc>
          <w:tcPr>
            <w:tcW w:w="1096" w:type="dxa"/>
          </w:tcPr>
          <w:p w14:paraId="32A31DFB"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2.16</w:t>
            </w:r>
          </w:p>
        </w:tc>
        <w:tc>
          <w:tcPr>
            <w:tcW w:w="993" w:type="dxa"/>
          </w:tcPr>
          <w:p w14:paraId="36C1E367"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0.53</w:t>
            </w:r>
          </w:p>
        </w:tc>
        <w:tc>
          <w:tcPr>
            <w:tcW w:w="1337" w:type="dxa"/>
          </w:tcPr>
          <w:p w14:paraId="473DA94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1.74</w:t>
            </w:r>
          </w:p>
        </w:tc>
        <w:tc>
          <w:tcPr>
            <w:tcW w:w="1374" w:type="dxa"/>
          </w:tcPr>
          <w:p w14:paraId="2392FD5A"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6.84</w:t>
            </w:r>
          </w:p>
        </w:tc>
        <w:tc>
          <w:tcPr>
            <w:tcW w:w="1163" w:type="dxa"/>
          </w:tcPr>
          <w:p w14:paraId="590E3E4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1.99</w:t>
            </w:r>
          </w:p>
        </w:tc>
        <w:tc>
          <w:tcPr>
            <w:tcW w:w="1193" w:type="dxa"/>
          </w:tcPr>
          <w:p w14:paraId="12775EA5"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1.86</w:t>
            </w:r>
          </w:p>
        </w:tc>
        <w:tc>
          <w:tcPr>
            <w:tcW w:w="1193" w:type="dxa"/>
          </w:tcPr>
          <w:p w14:paraId="08768C4D"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2.30</w:t>
            </w:r>
          </w:p>
        </w:tc>
      </w:tr>
    </w:tbl>
    <w:p w14:paraId="2D77FF46"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1:</w:t>
      </w:r>
      <w:r>
        <w:rPr>
          <w:rFonts w:ascii="Calibri" w:eastAsia="Calibri" w:hAnsi="Calibri" w:cs="Calibri"/>
          <w:color w:val="000000"/>
          <w:sz w:val="22"/>
        </w:rPr>
        <w:t xml:space="preserve"> Descriptive statistics of PSWR overall and by decile, 2017-2019</w:t>
      </w:r>
    </w:p>
    <w:p w14:paraId="6F88F16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*Cells intentionally left blank.</w:t>
      </w:r>
    </w:p>
    <w:p w14:paraId="73A2C9FF" w14:textId="77777777" w:rsidR="00A77B3E" w:rsidRDefault="00A77B3E">
      <w:pPr>
        <w:spacing w:after="240"/>
        <w:rPr>
          <w:rFonts w:ascii="Calibri" w:eastAsia="Calibri" w:hAnsi="Calibri" w:cs="Calibri"/>
          <w:color w:val="000000"/>
          <w:sz w:val="22"/>
        </w:rPr>
      </w:pPr>
    </w:p>
    <w:p w14:paraId="472C2EF4" w14:textId="77777777" w:rsidR="00A77B3E" w:rsidRDefault="00A77B3E">
      <w:pPr>
        <w:spacing w:after="240"/>
        <w:rPr>
          <w:rFonts w:ascii="Calibri" w:eastAsia="Calibri" w:hAnsi="Calibri" w:cs="Calibri"/>
          <w:color w:val="000000"/>
          <w:sz w:val="22"/>
        </w:rPr>
      </w:pPr>
    </w:p>
    <w:p w14:paraId="05120F1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lastRenderedPageBreak/>
        <w:t>1b.03) If no or limited performance data on the measure as specified is reported above, then provide a summary of data from the literature that indicates opportunity for improvement or overall less than optimal performance on the specific focus of measurement. Include citations.</w:t>
      </w:r>
    </w:p>
    <w:p w14:paraId="20D9FE5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65FFE5D0" w14:textId="77777777" w:rsidR="00A77B3E" w:rsidRDefault="00A77B3E">
      <w:pPr>
        <w:spacing w:after="240"/>
        <w:rPr>
          <w:rFonts w:ascii="Calibri" w:eastAsia="Calibri" w:hAnsi="Calibri" w:cs="Calibri"/>
          <w:color w:val="000000"/>
          <w:sz w:val="22"/>
        </w:rPr>
      </w:pPr>
    </w:p>
    <w:p w14:paraId="252046F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1b.04) Provide disparities data from the measure as specified (current and over time) by population group, e.g., by race/ethnicity, gender, age, insurance status, socioeconomic status, and/or disability.</w:t>
      </w:r>
    </w:p>
    <w:p w14:paraId="624F2282"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Describe the data source including number of measured entities; number of patients; dates of data; if a sample, characteristics of the entities included. Include mean, std dev, min, max, interquartile range, and scores by decile. For measures that show high levels of performance, i.e., “topped out”, disparities data may demonstrate an opportunity for improvement/gap in care for certain sub-populations. This information also will be used to address the sub-criterion on improvement (4b) under Usability and Use.</w:t>
      </w:r>
    </w:p>
    <w:p w14:paraId="10EBB89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Dates of data: January 1, 2017 – December 31, 2019.</w:t>
      </w:r>
    </w:p>
    <w:p w14:paraId="3E15006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Number of patients: 362,093</w:t>
      </w:r>
    </w:p>
    <w:p w14:paraId="46BE165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Number of practitioner groups: 2,022</w:t>
      </w:r>
    </w:p>
    <w:p w14:paraId="056BB8B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w:t>
      </w:r>
      <w:r>
        <w:rPr>
          <w:rFonts w:ascii="Calibri" w:eastAsia="Calibri" w:hAnsi="Calibri" w:cs="Calibri"/>
          <w:color w:val="000000"/>
          <w:sz w:val="22"/>
        </w:rPr>
        <w:t xml:space="preserve"> </w:t>
      </w:r>
      <w:r>
        <w:rPr>
          <w:rFonts w:ascii="Calibri" w:eastAsia="Calibri" w:hAnsi="Calibri" w:cs="Calibri"/>
          <w:b/>
          <w:bCs/>
          <w:color w:val="000000"/>
          <w:sz w:val="22"/>
        </w:rPr>
        <w:t>2:</w:t>
      </w:r>
      <w:r>
        <w:rPr>
          <w:rFonts w:ascii="Calibri" w:eastAsia="Calibri" w:hAnsi="Calibri" w:cs="Calibri"/>
          <w:color w:val="000000"/>
          <w:sz w:val="22"/>
        </w:rPr>
        <w:t xml:space="preserve"> Descriptive statistics of PSWR, by race, ethnicity and sex, 2017-2019</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2: Descriptive statistics of PSWR, by race, ethnicity and sex, 2017-2019"/>
        <w:tblDescription w:val="Table 2: Descriptive statistics of PSWR, by race, ethnicity and sex, 2017-2019"/>
      </w:tblPr>
      <w:tblGrid>
        <w:gridCol w:w="1596"/>
        <w:gridCol w:w="998"/>
        <w:gridCol w:w="953"/>
        <w:gridCol w:w="1246"/>
        <w:gridCol w:w="1283"/>
        <w:gridCol w:w="1070"/>
        <w:gridCol w:w="1102"/>
        <w:gridCol w:w="1102"/>
      </w:tblGrid>
      <w:tr w:rsidR="00233F1E" w14:paraId="4AD9A103" w14:textId="77777777">
        <w:trPr>
          <w:cantSplit/>
          <w:trHeight w:val="615"/>
          <w:tblHeader/>
        </w:trPr>
        <w:tc>
          <w:tcPr>
            <w:tcW w:w="1898" w:type="dxa"/>
          </w:tcPr>
          <w:p w14:paraId="1098EA7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Group</w:t>
            </w:r>
          </w:p>
        </w:tc>
        <w:tc>
          <w:tcPr>
            <w:tcW w:w="1137" w:type="dxa"/>
          </w:tcPr>
          <w:p w14:paraId="5566B4D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Mean </w:t>
            </w:r>
          </w:p>
        </w:tc>
        <w:tc>
          <w:tcPr>
            <w:tcW w:w="1113" w:type="dxa"/>
          </w:tcPr>
          <w:p w14:paraId="60354485"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Std Dev</w:t>
            </w:r>
          </w:p>
        </w:tc>
        <w:tc>
          <w:tcPr>
            <w:tcW w:w="1337" w:type="dxa"/>
          </w:tcPr>
          <w:p w14:paraId="7692920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Minimum</w:t>
            </w:r>
          </w:p>
        </w:tc>
        <w:tc>
          <w:tcPr>
            <w:tcW w:w="1374" w:type="dxa"/>
          </w:tcPr>
          <w:p w14:paraId="6FF9367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Maximum</w:t>
            </w:r>
          </w:p>
        </w:tc>
        <w:tc>
          <w:tcPr>
            <w:tcW w:w="1173" w:type="dxa"/>
          </w:tcPr>
          <w:p w14:paraId="46AA588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Median</w:t>
            </w:r>
          </w:p>
        </w:tc>
        <w:tc>
          <w:tcPr>
            <w:tcW w:w="1193" w:type="dxa"/>
          </w:tcPr>
          <w:p w14:paraId="10122369"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Lower Quartile</w:t>
            </w:r>
          </w:p>
        </w:tc>
        <w:tc>
          <w:tcPr>
            <w:tcW w:w="1193" w:type="dxa"/>
          </w:tcPr>
          <w:p w14:paraId="22E51EC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Upper Quartile</w:t>
            </w:r>
          </w:p>
        </w:tc>
      </w:tr>
      <w:tr w:rsidR="00233F1E" w14:paraId="446E134B" w14:textId="77777777">
        <w:trPr>
          <w:cantSplit/>
          <w:trHeight w:val="315"/>
        </w:trPr>
        <w:tc>
          <w:tcPr>
            <w:tcW w:w="1898" w:type="dxa"/>
          </w:tcPr>
          <w:p w14:paraId="1A02D432"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Race</w:t>
            </w:r>
          </w:p>
        </w:tc>
        <w:tc>
          <w:tcPr>
            <w:tcW w:w="1137" w:type="dxa"/>
          </w:tcPr>
          <w:p w14:paraId="79934F6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113" w:type="dxa"/>
          </w:tcPr>
          <w:p w14:paraId="235A79C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337" w:type="dxa"/>
          </w:tcPr>
          <w:p w14:paraId="60FE092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374" w:type="dxa"/>
          </w:tcPr>
          <w:p w14:paraId="0CB2ED4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173" w:type="dxa"/>
          </w:tcPr>
          <w:p w14:paraId="4746504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193" w:type="dxa"/>
          </w:tcPr>
          <w:p w14:paraId="6F83960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c>
          <w:tcPr>
            <w:tcW w:w="1193" w:type="dxa"/>
          </w:tcPr>
          <w:p w14:paraId="2620692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c>
      </w:tr>
      <w:tr w:rsidR="00233F1E" w14:paraId="007B0E41" w14:textId="77777777">
        <w:trPr>
          <w:cantSplit/>
          <w:trHeight w:val="315"/>
        </w:trPr>
        <w:tc>
          <w:tcPr>
            <w:tcW w:w="1898" w:type="dxa"/>
          </w:tcPr>
          <w:p w14:paraId="4DE70B3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White</w:t>
            </w:r>
          </w:p>
        </w:tc>
        <w:tc>
          <w:tcPr>
            <w:tcW w:w="1137" w:type="dxa"/>
          </w:tcPr>
          <w:p w14:paraId="33A56D0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1.21</w:t>
            </w:r>
          </w:p>
        </w:tc>
        <w:tc>
          <w:tcPr>
            <w:tcW w:w="1113" w:type="dxa"/>
          </w:tcPr>
          <w:p w14:paraId="6C54AD0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2.42</w:t>
            </w:r>
          </w:p>
        </w:tc>
        <w:tc>
          <w:tcPr>
            <w:tcW w:w="1337" w:type="dxa"/>
          </w:tcPr>
          <w:p w14:paraId="077E358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0FD7D25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97.66</w:t>
            </w:r>
          </w:p>
        </w:tc>
        <w:tc>
          <w:tcPr>
            <w:tcW w:w="1173" w:type="dxa"/>
          </w:tcPr>
          <w:p w14:paraId="65ABF3D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0.99</w:t>
            </w:r>
          </w:p>
        </w:tc>
        <w:tc>
          <w:tcPr>
            <w:tcW w:w="1193" w:type="dxa"/>
          </w:tcPr>
          <w:p w14:paraId="10B77D5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0.49</w:t>
            </w:r>
          </w:p>
        </w:tc>
        <w:tc>
          <w:tcPr>
            <w:tcW w:w="1193" w:type="dxa"/>
          </w:tcPr>
          <w:p w14:paraId="6A4F54F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1.60</w:t>
            </w:r>
          </w:p>
        </w:tc>
      </w:tr>
      <w:tr w:rsidR="00233F1E" w14:paraId="29BC3B5D" w14:textId="77777777">
        <w:trPr>
          <w:cantSplit/>
          <w:trHeight w:val="315"/>
        </w:trPr>
        <w:tc>
          <w:tcPr>
            <w:tcW w:w="1898" w:type="dxa"/>
          </w:tcPr>
          <w:p w14:paraId="0BDE7F8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Black</w:t>
            </w:r>
          </w:p>
        </w:tc>
        <w:tc>
          <w:tcPr>
            <w:tcW w:w="1137" w:type="dxa"/>
          </w:tcPr>
          <w:p w14:paraId="71CEFC1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2.13</w:t>
            </w:r>
          </w:p>
        </w:tc>
        <w:tc>
          <w:tcPr>
            <w:tcW w:w="1113" w:type="dxa"/>
          </w:tcPr>
          <w:p w14:paraId="2CA9DD7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51.14</w:t>
            </w:r>
          </w:p>
        </w:tc>
        <w:tc>
          <w:tcPr>
            <w:tcW w:w="1337" w:type="dxa"/>
          </w:tcPr>
          <w:p w14:paraId="0BA26EC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717FCF5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2273.08</w:t>
            </w:r>
          </w:p>
        </w:tc>
        <w:tc>
          <w:tcPr>
            <w:tcW w:w="1173" w:type="dxa"/>
          </w:tcPr>
          <w:p w14:paraId="4F42CFD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0.59</w:t>
            </w:r>
          </w:p>
        </w:tc>
        <w:tc>
          <w:tcPr>
            <w:tcW w:w="1193" w:type="dxa"/>
          </w:tcPr>
          <w:p w14:paraId="512B653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08D68BC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1.25</w:t>
            </w:r>
          </w:p>
        </w:tc>
      </w:tr>
      <w:tr w:rsidR="00233F1E" w14:paraId="6B92A2F6" w14:textId="77777777">
        <w:trPr>
          <w:cantSplit/>
          <w:trHeight w:val="615"/>
        </w:trPr>
        <w:tc>
          <w:tcPr>
            <w:tcW w:w="1898" w:type="dxa"/>
          </w:tcPr>
          <w:p w14:paraId="353E26D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Asian Pacific Islander</w:t>
            </w:r>
          </w:p>
        </w:tc>
        <w:tc>
          <w:tcPr>
            <w:tcW w:w="1137" w:type="dxa"/>
          </w:tcPr>
          <w:p w14:paraId="2C65E27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4.24</w:t>
            </w:r>
          </w:p>
        </w:tc>
        <w:tc>
          <w:tcPr>
            <w:tcW w:w="1113" w:type="dxa"/>
          </w:tcPr>
          <w:p w14:paraId="5BAD1A6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67.97</w:t>
            </w:r>
          </w:p>
        </w:tc>
        <w:tc>
          <w:tcPr>
            <w:tcW w:w="1337" w:type="dxa"/>
          </w:tcPr>
          <w:p w14:paraId="1ADB16A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620186D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2544.96</w:t>
            </w:r>
          </w:p>
        </w:tc>
        <w:tc>
          <w:tcPr>
            <w:tcW w:w="1173" w:type="dxa"/>
          </w:tcPr>
          <w:p w14:paraId="6F9FF04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65D2AB4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5E011BC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1.03</w:t>
            </w:r>
          </w:p>
        </w:tc>
      </w:tr>
      <w:tr w:rsidR="00233F1E" w14:paraId="6EBCBC71" w14:textId="77777777">
        <w:trPr>
          <w:cantSplit/>
          <w:trHeight w:val="615"/>
        </w:trPr>
        <w:tc>
          <w:tcPr>
            <w:tcW w:w="1898" w:type="dxa"/>
          </w:tcPr>
          <w:p w14:paraId="7382AE2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Native American/ Alaskan Native</w:t>
            </w:r>
          </w:p>
        </w:tc>
        <w:tc>
          <w:tcPr>
            <w:tcW w:w="1137" w:type="dxa"/>
          </w:tcPr>
          <w:p w14:paraId="775EFE1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1.52</w:t>
            </w:r>
          </w:p>
        </w:tc>
        <w:tc>
          <w:tcPr>
            <w:tcW w:w="1113" w:type="dxa"/>
          </w:tcPr>
          <w:p w14:paraId="12463A3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11.75</w:t>
            </w:r>
          </w:p>
        </w:tc>
        <w:tc>
          <w:tcPr>
            <w:tcW w:w="1337" w:type="dxa"/>
          </w:tcPr>
          <w:p w14:paraId="2B34B1B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1F93845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172.36</w:t>
            </w:r>
          </w:p>
        </w:tc>
        <w:tc>
          <w:tcPr>
            <w:tcW w:w="1173" w:type="dxa"/>
          </w:tcPr>
          <w:p w14:paraId="7949C26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1DB46C8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2DB408A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r>
      <w:tr w:rsidR="00233F1E" w14:paraId="0643808A" w14:textId="77777777">
        <w:trPr>
          <w:cantSplit/>
          <w:trHeight w:val="315"/>
        </w:trPr>
        <w:tc>
          <w:tcPr>
            <w:tcW w:w="1898" w:type="dxa"/>
          </w:tcPr>
          <w:p w14:paraId="599629B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Other</w:t>
            </w:r>
          </w:p>
        </w:tc>
        <w:tc>
          <w:tcPr>
            <w:tcW w:w="1137" w:type="dxa"/>
          </w:tcPr>
          <w:p w14:paraId="70CB5C9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4.37</w:t>
            </w:r>
          </w:p>
        </w:tc>
        <w:tc>
          <w:tcPr>
            <w:tcW w:w="1113" w:type="dxa"/>
          </w:tcPr>
          <w:p w14:paraId="44AD255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30.90</w:t>
            </w:r>
          </w:p>
        </w:tc>
        <w:tc>
          <w:tcPr>
            <w:tcW w:w="1337" w:type="dxa"/>
          </w:tcPr>
          <w:p w14:paraId="417F465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4AB9499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529.23</w:t>
            </w:r>
          </w:p>
        </w:tc>
        <w:tc>
          <w:tcPr>
            <w:tcW w:w="1173" w:type="dxa"/>
          </w:tcPr>
          <w:p w14:paraId="414A3B7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57D7405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77CCC8E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r>
      <w:tr w:rsidR="00233F1E" w14:paraId="1A4C83C1" w14:textId="77777777">
        <w:trPr>
          <w:cantSplit/>
          <w:trHeight w:val="315"/>
        </w:trPr>
        <w:tc>
          <w:tcPr>
            <w:tcW w:w="1898" w:type="dxa"/>
          </w:tcPr>
          <w:p w14:paraId="66A6DA1D"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Ethnicity</w:t>
            </w:r>
          </w:p>
        </w:tc>
        <w:tc>
          <w:tcPr>
            <w:tcW w:w="1137" w:type="dxa"/>
          </w:tcPr>
          <w:p w14:paraId="2A0A7C4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113" w:type="dxa"/>
          </w:tcPr>
          <w:p w14:paraId="6F4E7F4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337" w:type="dxa"/>
          </w:tcPr>
          <w:p w14:paraId="31762F5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374" w:type="dxa"/>
          </w:tcPr>
          <w:p w14:paraId="1E04222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173" w:type="dxa"/>
          </w:tcPr>
          <w:p w14:paraId="1F9F3FC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193" w:type="dxa"/>
          </w:tcPr>
          <w:p w14:paraId="3B5EC10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193" w:type="dxa"/>
          </w:tcPr>
          <w:p w14:paraId="3D2046E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r>
      <w:tr w:rsidR="00233F1E" w14:paraId="607B96F8" w14:textId="77777777">
        <w:trPr>
          <w:cantSplit/>
          <w:trHeight w:val="315"/>
        </w:trPr>
        <w:tc>
          <w:tcPr>
            <w:tcW w:w="1898" w:type="dxa"/>
          </w:tcPr>
          <w:p w14:paraId="04673E5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Hispanic</w:t>
            </w:r>
          </w:p>
        </w:tc>
        <w:tc>
          <w:tcPr>
            <w:tcW w:w="1137" w:type="dxa"/>
          </w:tcPr>
          <w:p w14:paraId="07CE233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1.64</w:t>
            </w:r>
          </w:p>
        </w:tc>
        <w:tc>
          <w:tcPr>
            <w:tcW w:w="1113" w:type="dxa"/>
          </w:tcPr>
          <w:p w14:paraId="0A297F2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9.44</w:t>
            </w:r>
          </w:p>
        </w:tc>
        <w:tc>
          <w:tcPr>
            <w:tcW w:w="1337" w:type="dxa"/>
          </w:tcPr>
          <w:p w14:paraId="7500896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30A547F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343.23</w:t>
            </w:r>
          </w:p>
        </w:tc>
        <w:tc>
          <w:tcPr>
            <w:tcW w:w="1173" w:type="dxa"/>
          </w:tcPr>
          <w:p w14:paraId="4FC74E4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2C141CA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1A9BA7A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1.55</w:t>
            </w:r>
          </w:p>
        </w:tc>
      </w:tr>
      <w:tr w:rsidR="00233F1E" w14:paraId="75B85620" w14:textId="77777777">
        <w:trPr>
          <w:cantSplit/>
          <w:trHeight w:val="315"/>
        </w:trPr>
        <w:tc>
          <w:tcPr>
            <w:tcW w:w="1898" w:type="dxa"/>
          </w:tcPr>
          <w:p w14:paraId="005B981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Non-Hispanic</w:t>
            </w:r>
          </w:p>
        </w:tc>
        <w:tc>
          <w:tcPr>
            <w:tcW w:w="1137" w:type="dxa"/>
          </w:tcPr>
          <w:p w14:paraId="54E7593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1.07</w:t>
            </w:r>
          </w:p>
        </w:tc>
        <w:tc>
          <w:tcPr>
            <w:tcW w:w="1113" w:type="dxa"/>
          </w:tcPr>
          <w:p w14:paraId="4A56742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0.98</w:t>
            </w:r>
          </w:p>
        </w:tc>
        <w:tc>
          <w:tcPr>
            <w:tcW w:w="1337" w:type="dxa"/>
          </w:tcPr>
          <w:p w14:paraId="71B347A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05D1783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21.55</w:t>
            </w:r>
          </w:p>
        </w:tc>
        <w:tc>
          <w:tcPr>
            <w:tcW w:w="1173" w:type="dxa"/>
          </w:tcPr>
          <w:p w14:paraId="4FFD8AA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0.95</w:t>
            </w:r>
          </w:p>
        </w:tc>
        <w:tc>
          <w:tcPr>
            <w:tcW w:w="1193" w:type="dxa"/>
          </w:tcPr>
          <w:p w14:paraId="4CBD1D1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0.54</w:t>
            </w:r>
          </w:p>
        </w:tc>
        <w:tc>
          <w:tcPr>
            <w:tcW w:w="1193" w:type="dxa"/>
          </w:tcPr>
          <w:p w14:paraId="0E1278F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1.41</w:t>
            </w:r>
          </w:p>
        </w:tc>
      </w:tr>
      <w:tr w:rsidR="00233F1E" w14:paraId="6A87E6B1" w14:textId="77777777">
        <w:trPr>
          <w:cantSplit/>
          <w:trHeight w:val="315"/>
        </w:trPr>
        <w:tc>
          <w:tcPr>
            <w:tcW w:w="1898" w:type="dxa"/>
          </w:tcPr>
          <w:p w14:paraId="3BCD101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lastRenderedPageBreak/>
              <w:t>Sex</w:t>
            </w:r>
          </w:p>
        </w:tc>
        <w:tc>
          <w:tcPr>
            <w:tcW w:w="1137" w:type="dxa"/>
          </w:tcPr>
          <w:p w14:paraId="44F050E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113" w:type="dxa"/>
          </w:tcPr>
          <w:p w14:paraId="525C670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337" w:type="dxa"/>
          </w:tcPr>
          <w:p w14:paraId="3DE8C7A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374" w:type="dxa"/>
          </w:tcPr>
          <w:p w14:paraId="26409BF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173" w:type="dxa"/>
          </w:tcPr>
          <w:p w14:paraId="17AC89C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193" w:type="dxa"/>
          </w:tcPr>
          <w:p w14:paraId="512E8DD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1193" w:type="dxa"/>
          </w:tcPr>
          <w:p w14:paraId="0203E57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r>
      <w:tr w:rsidR="00233F1E" w14:paraId="6A861B53" w14:textId="77777777">
        <w:trPr>
          <w:cantSplit/>
          <w:trHeight w:val="315"/>
        </w:trPr>
        <w:tc>
          <w:tcPr>
            <w:tcW w:w="1898" w:type="dxa"/>
          </w:tcPr>
          <w:p w14:paraId="7AA9FEE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Female</w:t>
            </w:r>
          </w:p>
        </w:tc>
        <w:tc>
          <w:tcPr>
            <w:tcW w:w="1137" w:type="dxa"/>
          </w:tcPr>
          <w:p w14:paraId="66A5A6C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1.18</w:t>
            </w:r>
          </w:p>
        </w:tc>
        <w:tc>
          <w:tcPr>
            <w:tcW w:w="1113" w:type="dxa"/>
          </w:tcPr>
          <w:p w14:paraId="7BFC3B0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0.96</w:t>
            </w:r>
          </w:p>
        </w:tc>
        <w:tc>
          <w:tcPr>
            <w:tcW w:w="1337" w:type="dxa"/>
          </w:tcPr>
          <w:p w14:paraId="16710C0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09E740E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8.85</w:t>
            </w:r>
          </w:p>
        </w:tc>
        <w:tc>
          <w:tcPr>
            <w:tcW w:w="1173" w:type="dxa"/>
          </w:tcPr>
          <w:p w14:paraId="07B0FDD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1.04</w:t>
            </w:r>
          </w:p>
        </w:tc>
        <w:tc>
          <w:tcPr>
            <w:tcW w:w="1193" w:type="dxa"/>
          </w:tcPr>
          <w:p w14:paraId="2C07C00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0.56</w:t>
            </w:r>
          </w:p>
        </w:tc>
        <w:tc>
          <w:tcPr>
            <w:tcW w:w="1193" w:type="dxa"/>
          </w:tcPr>
          <w:p w14:paraId="405DD37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1.64</w:t>
            </w:r>
          </w:p>
        </w:tc>
      </w:tr>
      <w:tr w:rsidR="00233F1E" w14:paraId="1DBFD1C9" w14:textId="77777777">
        <w:trPr>
          <w:cantSplit/>
          <w:trHeight w:val="315"/>
        </w:trPr>
        <w:tc>
          <w:tcPr>
            <w:tcW w:w="1898" w:type="dxa"/>
          </w:tcPr>
          <w:p w14:paraId="35D3279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Male</w:t>
            </w:r>
          </w:p>
        </w:tc>
        <w:tc>
          <w:tcPr>
            <w:tcW w:w="1137" w:type="dxa"/>
          </w:tcPr>
          <w:p w14:paraId="00A320B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0.98</w:t>
            </w:r>
          </w:p>
        </w:tc>
        <w:tc>
          <w:tcPr>
            <w:tcW w:w="1113" w:type="dxa"/>
          </w:tcPr>
          <w:p w14:paraId="0D2B5AF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1.03</w:t>
            </w:r>
          </w:p>
        </w:tc>
        <w:tc>
          <w:tcPr>
            <w:tcW w:w="1337" w:type="dxa"/>
          </w:tcPr>
          <w:p w14:paraId="534E401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374" w:type="dxa"/>
          </w:tcPr>
          <w:p w14:paraId="7BFE008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10.56</w:t>
            </w:r>
          </w:p>
        </w:tc>
        <w:tc>
          <w:tcPr>
            <w:tcW w:w="1173" w:type="dxa"/>
          </w:tcPr>
          <w:p w14:paraId="5A66D30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0.81</w:t>
            </w:r>
          </w:p>
        </w:tc>
        <w:tc>
          <w:tcPr>
            <w:tcW w:w="1193" w:type="dxa"/>
          </w:tcPr>
          <w:p w14:paraId="35BA457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0.00</w:t>
            </w:r>
          </w:p>
        </w:tc>
        <w:tc>
          <w:tcPr>
            <w:tcW w:w="1193" w:type="dxa"/>
          </w:tcPr>
          <w:p w14:paraId="4607366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1.44</w:t>
            </w:r>
          </w:p>
        </w:tc>
      </w:tr>
    </w:tbl>
    <w:p w14:paraId="62DFCBDB"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w:t>
      </w:r>
      <w:r>
        <w:rPr>
          <w:rFonts w:ascii="Calibri" w:eastAsia="Calibri" w:hAnsi="Calibri" w:cs="Calibri"/>
          <w:color w:val="000000"/>
          <w:sz w:val="22"/>
        </w:rPr>
        <w:t xml:space="preserve"> </w:t>
      </w:r>
      <w:r>
        <w:rPr>
          <w:rFonts w:ascii="Calibri" w:eastAsia="Calibri" w:hAnsi="Calibri" w:cs="Calibri"/>
          <w:b/>
          <w:bCs/>
          <w:color w:val="000000"/>
          <w:sz w:val="22"/>
        </w:rPr>
        <w:t>2:</w:t>
      </w:r>
      <w:r>
        <w:rPr>
          <w:rFonts w:ascii="Calibri" w:eastAsia="Calibri" w:hAnsi="Calibri" w:cs="Calibri"/>
          <w:color w:val="000000"/>
          <w:sz w:val="22"/>
        </w:rPr>
        <w:t xml:space="preserve"> Descriptive statistics of PSWR, by race, ethnicity and sex, 2017-2019</w:t>
      </w:r>
    </w:p>
    <w:p w14:paraId="3E9C877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*Cells intentionally left blank.</w:t>
      </w:r>
    </w:p>
    <w:p w14:paraId="1605EA8D"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Figure 1</w:t>
      </w:r>
      <w:r>
        <w:rPr>
          <w:rFonts w:ascii="Calibri" w:eastAsia="Calibri" w:hAnsi="Calibri" w:cs="Calibri"/>
          <w:color w:val="000000"/>
          <w:sz w:val="22"/>
        </w:rPr>
        <w:t>: Performance of PSWR, by race, ethnicity and sex, 2017-2019</w:t>
      </w:r>
    </w:p>
    <w:p w14:paraId="7C03E289"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6E93DA6" wp14:editId="31C6CF5E">
            <wp:extent cx="5943600" cy="2008101"/>
            <wp:effectExtent l="0" t="0" r="0" b="0"/>
            <wp:docPr id="100486" name="Picture 100486" descr="Figure 1 displays histogram plots of the performance of PSWR, by race, ethnicity, and sex from 2017 to 2019. The first chart compares race categories of API, Black, and White, respectively. The second chart compares ethnicity categories of Hispanic and non-Hispanic, respectively. The third chart compares sex categories of female and male, respectively. Each category plots flags of better, expected, and worse,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6" name="Picture 100486" descr="Figure 1 displays histogram plots of the performance of PSWR, by race, ethnicity, and sex from 2017 to 2019. The first chart compares race categories of API, Black, and White, respectively. The second chart compares ethnicity categories of Hispanic and non-Hispanic, respectively. The third chart compares sex categories of female and male, respectively. Each category plots flags of better, expected, and worse, respectively."/>
                    <pic:cNvPicPr>
                      <a:picLocks noChangeAspect="1"/>
                    </pic:cNvPicPr>
                  </pic:nvPicPr>
                  <pic:blipFill>
                    <a:blip r:embed="rId20"/>
                    <a:stretch>
                      <a:fillRect/>
                    </a:stretch>
                  </pic:blipFill>
                  <pic:spPr>
                    <a:xfrm>
                      <a:off x="0" y="0"/>
                      <a:ext cx="5943600" cy="2008101"/>
                    </a:xfrm>
                    <a:prstGeom prst="rect">
                      <a:avLst/>
                    </a:prstGeom>
                  </pic:spPr>
                </pic:pic>
              </a:graphicData>
            </a:graphic>
          </wp:inline>
        </w:drawing>
      </w:r>
    </w:p>
    <w:p w14:paraId="3C168E44"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color w:val="000000"/>
          <w:sz w:val="22"/>
        </w:rPr>
        <w:t>Figure 1 displays histogram plots of the performance of PSWR, by race, ethnicity, and sex from 2017 to 2019. The first chart compares race categories of API, Black, and White, respectively. The second chart compares ethnicity categories of Hispanic and non-Hispanic, respectively. The third chart compares sex categories of female and male, respectively. Each category plots flags of better, expected, and worse, respectively.</w:t>
      </w:r>
    </w:p>
    <w:p w14:paraId="485CA12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Note: Race groups Native American/Alaskan Native and Other have only a small number of patients and were not included in Figure 1. </w:t>
      </w:r>
    </w:p>
    <w:p w14:paraId="249EC523" w14:textId="77777777" w:rsidR="00A77B3E" w:rsidRDefault="00A77B3E">
      <w:pPr>
        <w:spacing w:after="240"/>
        <w:rPr>
          <w:rFonts w:ascii="Calibri" w:eastAsia="Calibri" w:hAnsi="Calibri" w:cs="Calibri"/>
          <w:color w:val="000000"/>
          <w:sz w:val="22"/>
        </w:rPr>
      </w:pPr>
    </w:p>
    <w:p w14:paraId="79FD8822" w14:textId="77777777" w:rsidR="00A77B3E" w:rsidRDefault="00A77B3E">
      <w:pPr>
        <w:spacing w:after="240"/>
        <w:rPr>
          <w:rFonts w:ascii="Calibri" w:eastAsia="Calibri" w:hAnsi="Calibri" w:cs="Calibri"/>
          <w:color w:val="000000"/>
          <w:sz w:val="22"/>
        </w:rPr>
      </w:pPr>
    </w:p>
    <w:p w14:paraId="0E5C77F1"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1b.05) If no or limited data on disparities from the measure as specified is reported above, then provide a summary of data from the literature that addresses disparities in care on the specific focus of measurement. Include citations. Not necessary if performance data provided in above.</w:t>
      </w:r>
    </w:p>
    <w:p w14:paraId="0C72082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0DAEC0F1" w14:textId="77777777" w:rsidR="00A77B3E" w:rsidRDefault="00A77B3E">
      <w:pPr>
        <w:spacing w:after="240"/>
        <w:rPr>
          <w:rFonts w:ascii="Calibri" w:eastAsia="Calibri" w:hAnsi="Calibri" w:cs="Calibri"/>
          <w:color w:val="000000"/>
          <w:sz w:val="22"/>
        </w:rPr>
      </w:pPr>
    </w:p>
    <w:p w14:paraId="042CA70F"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Scientific Acceptability: Reliability - Testing (2a.01 - 2a.12)</w:t>
      </w:r>
      <w:r>
        <w:pict w14:anchorId="3C96A44C">
          <v:rect id="_x0000_i1032" style="width:468pt;height:1pt" o:hralign="center" o:hrstd="t" o:hrnoshade="t" o:hr="t" fillcolor="#326295" stroked="f">
            <v:path strokeok="f"/>
          </v:rect>
        </w:pict>
      </w:r>
    </w:p>
    <w:p w14:paraId="4011A531" w14:textId="77777777" w:rsidR="00A77B3E" w:rsidRDefault="00A77B3E">
      <w:pPr>
        <w:pStyle w:val="Heading1"/>
        <w:spacing w:before="0" w:after="240"/>
        <w:rPr>
          <w:rFonts w:ascii="Calibri" w:eastAsia="Calibri" w:hAnsi="Calibri" w:cs="Calibri"/>
          <w:b w:val="0"/>
          <w:color w:val="326295"/>
          <w:sz w:val="2"/>
        </w:rPr>
      </w:pPr>
    </w:p>
    <w:p w14:paraId="7FFB323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Measure testing must demonstrate adequate reliability and validity in order to be recommended for endorsement. Testing may be conducted for data elements and/or the computed measure score. Testing information and results should be entered in the appropriate fields in the Scientific Acceptability sections of the Measure Submission Form.</w:t>
      </w:r>
    </w:p>
    <w:p w14:paraId="62C2A45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Measures must be tested for all the data sources and levels of analyses that are specified. If there is more than one set of data specifications or more than one level of analysis, contact NQF staff about how to present all the testing information in one form.</w:t>
      </w:r>
    </w:p>
    <w:p w14:paraId="6027DD0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All required sections must be completed.</w:t>
      </w:r>
    </w:p>
    <w:p w14:paraId="7457F2B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For composites with outcome and resource use measures, Questions 2b.23-2b.37 (Risk Adjustment) also must be completed.</w:t>
      </w:r>
    </w:p>
    <w:p w14:paraId="6D07631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If specified for multiple data sources/sets of specifications (e.g., claims and EHRs), Questions 2b.11-2b.13 also must be completed.</w:t>
      </w:r>
    </w:p>
    <w:p w14:paraId="4F7273D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An appendix for supplemental materials may be submitted (see Question 1 in the Additional section), but there is no guarantee it will be reviewed.</w:t>
      </w:r>
    </w:p>
    <w:p w14:paraId="74D3591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 Contact NQF staff with any questions. Check for resources at the </w:t>
      </w:r>
      <w:hyperlink r:id="rId21" w:tgtFrame="_blank" w:history="1">
        <w:r>
          <w:rPr>
            <w:rFonts w:ascii="Calibri" w:eastAsia="Calibri" w:hAnsi="Calibri" w:cs="Calibri"/>
            <w:color w:val="0000FF"/>
            <w:sz w:val="22"/>
            <w:u w:val="single" w:color="0000FF"/>
          </w:rPr>
          <w:t>Submitting Standards webpage</w:t>
        </w:r>
      </w:hyperlink>
      <w:r>
        <w:rPr>
          <w:rFonts w:ascii="Calibri" w:eastAsia="Calibri" w:hAnsi="Calibri" w:cs="Calibri"/>
          <w:color w:val="000000"/>
          <w:sz w:val="22"/>
        </w:rPr>
        <w:t>.</w:t>
      </w:r>
    </w:p>
    <w:p w14:paraId="6B0CF07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 For information on the most updated guidance on how to address social risk factors variables and testing in this form refer to the release notes for the </w:t>
      </w:r>
      <w:hyperlink r:id="rId22" w:tgtFrame="_blank" w:history="1">
        <w:r>
          <w:rPr>
            <w:rFonts w:ascii="Calibri" w:eastAsia="Calibri" w:hAnsi="Calibri" w:cs="Calibri"/>
            <w:color w:val="0000FF"/>
            <w:sz w:val="22"/>
            <w:u w:val="single" w:color="0000FF"/>
          </w:rPr>
          <w:t>2021 Measure Evaluation Criteria and Guidance</w:t>
        </w:r>
      </w:hyperlink>
      <w:r>
        <w:rPr>
          <w:rFonts w:ascii="Calibri" w:eastAsia="Calibri" w:hAnsi="Calibri" w:cs="Calibri"/>
          <w:color w:val="000000"/>
          <w:sz w:val="22"/>
        </w:rPr>
        <w:t>.</w:t>
      </w:r>
    </w:p>
    <w:p w14:paraId="6A70DDE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p w14:paraId="06FE432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Note: The information provided in this form is intended to aid the Standing Committee and other stakeholders in understanding to what degree the testing results for this measure meet NQF’s evaluation criteria for testing.</w:t>
      </w:r>
    </w:p>
    <w:p w14:paraId="6362431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2a. Reliability testing demonstrates the measure data elements are repeatable, producing the same results a high proportion of the time when assessed in the same population in the same time period and/or that the measure score is precise. For instrument-based measures (including PRO-PMs) and composite performance measures, reliability should be demonstrated for the computed performance score.</w:t>
      </w:r>
    </w:p>
    <w:p w14:paraId="4BB5D8F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2b1. Validity testing demonstrates that the measure data elements are correct and/or the measure score correctly reflects the quality of care provided, adequately identifying differences in quality.  For instrument based measures (including PRO-PMs) and composite performance measures, validity should be demonstrated for the computed performance score.</w:t>
      </w:r>
    </w:p>
    <w:p w14:paraId="1A50B03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2b2. Exclusions are supported by the clinical evidence and are of sufficient frequency to warrant inclusion in the specifications of the measure;</w:t>
      </w:r>
    </w:p>
    <w:p w14:paraId="2484912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AND  </w:t>
      </w:r>
    </w:p>
    <w:p w14:paraId="0CC0A1D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w:t>
      </w:r>
    </w:p>
    <w:p w14:paraId="550C87F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2b3. For outcome measures and other measures when indicated (e.g., resource use):</w:t>
      </w:r>
    </w:p>
    <w:p w14:paraId="5CC8318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an evidence-based risk-adjustment strategy (e.g., risk models, risk stratification) is specified; is based on patient factors (including clinical and social risk factors) that influence the measured outcome and are present at start of care; 14,15 and has demonstrated adequate discrimination and calibration</w:t>
      </w:r>
    </w:p>
    <w:p w14:paraId="072096A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OR</w:t>
      </w:r>
    </w:p>
    <w:p w14:paraId="08406E9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rationale/data support no risk adjustment/ stratification.</w:t>
      </w:r>
    </w:p>
    <w:p w14:paraId="2AE0771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2b4. Data analysis of computed measure scores demonstrates that methods for scoring and analysis of the specified measure allow for identification of statistically significant and practically/clinically meaningful 16 differences in performance;</w:t>
      </w:r>
    </w:p>
    <w:p w14:paraId="0045A97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OR</w:t>
      </w:r>
    </w:p>
    <w:p w14:paraId="0B81FFB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there is evidence of overall less-than-optimal performance.  </w:t>
      </w:r>
    </w:p>
    <w:p w14:paraId="153CA52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2b5. If multiple data sources/methods are specified, there is demonstration they produce comparable results.</w:t>
      </w:r>
    </w:p>
    <w:p w14:paraId="52992A9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2b6. 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p w14:paraId="5904CF5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2c. For composite performance measures, empirical analyses support the composite construction approach and demonstrate that:</w:t>
      </w:r>
    </w:p>
    <w:p w14:paraId="2893405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2c1. the component measures fit the quality construct and add value to the overall composite while achieving the related objective of parsimony to the extent possible; and</w:t>
      </w:r>
    </w:p>
    <w:p w14:paraId="3417BCC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2c2. the aggregation and weighting rules are consistent with the quality construct and rationale while achieving the related objective of simplicity to the extent possible.</w:t>
      </w:r>
    </w:p>
    <w:p w14:paraId="0DB28F4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(if not conducted or results not adequate, justification must be submitted and accepted)</w:t>
      </w:r>
    </w:p>
    <w:p w14:paraId="162EDD2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p w14:paraId="1EE7C70A"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Definitions</w:t>
      </w:r>
    </w:p>
    <w:p w14:paraId="3CCB8D3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Reliability testing applies to both the data elements and computed measure score. Examples of reliability testing for data elements include, but are not limited to: inter-rater/abstractor or intra-</w:t>
      </w:r>
      <w:r>
        <w:rPr>
          <w:rFonts w:ascii="Calibri" w:eastAsia="Calibri" w:hAnsi="Calibri" w:cs="Calibri"/>
          <w:color w:val="000000"/>
          <w:sz w:val="22"/>
        </w:rPr>
        <w:lastRenderedPageBreak/>
        <w:t>rater/abstractor studies; internal consistency for multi-item scales; test-retest for survey items. Reliability testing of the measure score addresses precision of measurement (e.g., signal-to-noise).</w:t>
      </w:r>
    </w:p>
    <w:p w14:paraId="67F66FB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 The degree of consensus and any areas of disagreement must be provided/discussed.</w:t>
      </w:r>
    </w:p>
    <w:p w14:paraId="7428CAC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Examples of evidence that an exclusion distorts measure results include, but are not limited to: frequency of occurrence, variability of exclusions across providers, and sensitivity analyses with and without the exclusion.</w:t>
      </w:r>
    </w:p>
    <w:p w14:paraId="5BF7DB1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Patient preference is not a clinical exception to eligibility and can be influenced by provider interventions.</w:t>
      </w:r>
    </w:p>
    <w:p w14:paraId="4E9D783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Risk factors that influence outcomes should not be specified as exclusions.</w:t>
      </w:r>
    </w:p>
    <w:p w14:paraId="0A1ACFC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v.$5,025) is practically meaningful. Measures with overall less-than-optimal performance may not demonstrate much variability across providers.</w:t>
      </w:r>
    </w:p>
    <w:p w14:paraId="41A18BF6" w14:textId="77777777" w:rsidR="00A77B3E" w:rsidRDefault="00A77B3E">
      <w:pPr>
        <w:spacing w:after="240"/>
        <w:rPr>
          <w:rFonts w:ascii="Calibri" w:eastAsia="Calibri" w:hAnsi="Calibri" w:cs="Calibri"/>
          <w:color w:val="000000"/>
          <w:sz w:val="22"/>
        </w:rPr>
      </w:pPr>
    </w:p>
    <w:p w14:paraId="6D833C9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Please separate added or updated information from the most recent measure evaluation within each question response in the Scientific Acceptability sections. For example:</w:t>
      </w:r>
    </w:p>
    <w:p w14:paraId="5EB7B5EE"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Current Submission:</w:t>
      </w:r>
    </w:p>
    <w:p w14:paraId="48CB664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Updated testing information here.</w:t>
      </w:r>
    </w:p>
    <w:p w14:paraId="3E1F33BE"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Previous (Year) Submission:</w:t>
      </w:r>
    </w:p>
    <w:p w14:paraId="4E10CF3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Testing from the previous submission here.</w:t>
      </w:r>
    </w:p>
    <w:p w14:paraId="75EA975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p w14:paraId="43BC07EB" w14:textId="77777777" w:rsidR="00A77B3E" w:rsidRDefault="00A77B3E">
      <w:pPr>
        <w:spacing w:after="240"/>
        <w:rPr>
          <w:rFonts w:ascii="Calibri" w:eastAsia="Calibri" w:hAnsi="Calibri" w:cs="Calibri"/>
          <w:color w:val="000000"/>
          <w:sz w:val="22"/>
        </w:rPr>
      </w:pPr>
    </w:p>
    <w:p w14:paraId="1F88A833"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lastRenderedPageBreak/>
        <w:t>2a.01) Select only the data sources for which the measure is tested.</w:t>
      </w:r>
    </w:p>
    <w:p w14:paraId="58A9809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A29C1B6" wp14:editId="2EF9559C">
            <wp:extent cx="126984" cy="126984"/>
            <wp:effectExtent l="0" t="0" r="0" b="0"/>
            <wp:docPr id="100489" name="Picture 100489" descr="Assessment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0"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Assessment Data  </w:t>
      </w:r>
    </w:p>
    <w:p w14:paraId="79B73FC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E560A21" wp14:editId="35CF6044">
            <wp:extent cx="126984" cy="126984"/>
            <wp:effectExtent l="0" t="0" r="0" b="0"/>
            <wp:docPr id="100491" name="Picture 100491" descr="Clai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2"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Claims  </w:t>
      </w:r>
    </w:p>
    <w:p w14:paraId="0616991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FACE718" wp14:editId="572A6E1E">
            <wp:extent cx="126984" cy="126984"/>
            <wp:effectExtent l="0" t="0" r="0" b="0"/>
            <wp:docPr id="100493" name="Picture 100493" descr="Electronic Health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Electronic Health Data  </w:t>
      </w:r>
    </w:p>
    <w:p w14:paraId="2BFC2BD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1CF4C0B" wp14:editId="58A4FEFD">
            <wp:extent cx="126984" cy="126984"/>
            <wp:effectExtent l="0" t="0" r="0" b="0"/>
            <wp:docPr id="100495" name="Picture 100495" descr="Electronic Health Rec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6"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Electronic Health Records  </w:t>
      </w:r>
    </w:p>
    <w:p w14:paraId="042A0C0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CD70434" wp14:editId="6FC925FD">
            <wp:extent cx="126984" cy="126984"/>
            <wp:effectExtent l="0" t="0" r="0" b="0"/>
            <wp:docPr id="100497" name="Picture 100497" descr="Instrument-Based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8"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Instrument-Based Data  </w:t>
      </w:r>
    </w:p>
    <w:p w14:paraId="5C1C423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2C358B8" wp14:editId="6B2F3D6B">
            <wp:extent cx="126984" cy="126984"/>
            <wp:effectExtent l="0" t="0" r="0" b="0"/>
            <wp:docPr id="100499" name="Picture 100499" descr="Management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0"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Management Data  </w:t>
      </w:r>
    </w:p>
    <w:p w14:paraId="4325BB8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E542304" wp14:editId="4CD00EB8">
            <wp:extent cx="126984" cy="126984"/>
            <wp:effectExtent l="0" t="0" r="0" b="0"/>
            <wp:docPr id="100501" name="Picture 100501"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2"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1998320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4D18082" wp14:editId="543BE8FF">
            <wp:extent cx="126984" cy="126984"/>
            <wp:effectExtent l="0" t="0" r="0" b="0"/>
            <wp:docPr id="100503" name="Picture 100503" descr="Paper Medical Rec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4"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Paper Medical Records  </w:t>
      </w:r>
    </w:p>
    <w:p w14:paraId="7EC4771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9665C73" wp14:editId="06F56B24">
            <wp:extent cx="126984" cy="126984"/>
            <wp:effectExtent l="0" t="0" r="0" b="0"/>
            <wp:docPr id="100505" name="Picture 100505" descr="Registry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6"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Registry Data  </w:t>
      </w:r>
    </w:p>
    <w:p w14:paraId="521A3FF8" w14:textId="77777777" w:rsidR="00A77B3E" w:rsidRDefault="00A77B3E">
      <w:pPr>
        <w:spacing w:after="240"/>
        <w:rPr>
          <w:rFonts w:ascii="Calibri" w:eastAsia="Calibri" w:hAnsi="Calibri" w:cs="Calibri"/>
          <w:color w:val="000000"/>
          <w:sz w:val="22"/>
        </w:rPr>
      </w:pPr>
    </w:p>
    <w:p w14:paraId="5414DBFE"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2a.02) If an existing dataset was used, identify the specific dataset.</w:t>
      </w:r>
    </w:p>
    <w:p w14:paraId="3F488361"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The dataset used for testing must be consistent with the measure specifications for target population and healthcare entities being measured; e.g., Medicare Part A claims, Medicaid claims, other commercial insurance, nursing home MDS, home health OASIS, clinical registry).</w:t>
      </w:r>
      <w:r>
        <w:rPr>
          <w:rFonts w:ascii="Calibri" w:eastAsia="Calibri" w:hAnsi="Calibri" w:cs="Calibri"/>
          <w:color w:val="000000"/>
          <w:sz w:val="22"/>
        </w:rPr>
        <w:t>The data derived from a combination of EQRS (formerly CROWNWeb), the Nursing Home Minimum Dataset, transplant registries (OPTN, SRTR), the CMS Medical Evidence Form (CMS Form 2728), Medicare claims from CMS, and the monthly capitation payment (MCP) from the Integrated Data Repository (IDR).</w:t>
      </w:r>
    </w:p>
    <w:p w14:paraId="5BE4ED7D" w14:textId="77777777" w:rsidR="00A77B3E" w:rsidRDefault="00A77B3E">
      <w:pPr>
        <w:spacing w:after="240"/>
        <w:rPr>
          <w:rFonts w:ascii="Calibri" w:eastAsia="Calibri" w:hAnsi="Calibri" w:cs="Calibri"/>
          <w:color w:val="000000"/>
          <w:sz w:val="22"/>
        </w:rPr>
      </w:pPr>
    </w:p>
    <w:p w14:paraId="7877B8A9"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2a.03) Provide the dates of the data used in testing. </w:t>
      </w:r>
    </w:p>
    <w:p w14:paraId="23F42CF3"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Use the following format: “MM-DD-YYYY - MM-DD-YYYY”</w:t>
      </w:r>
      <w:r>
        <w:rPr>
          <w:rFonts w:ascii="Calibri" w:eastAsia="Calibri" w:hAnsi="Calibri" w:cs="Calibri"/>
          <w:color w:val="000000"/>
          <w:sz w:val="22"/>
        </w:rPr>
        <w:t>01-01-2017 – 12-31-2019</w:t>
      </w:r>
    </w:p>
    <w:p w14:paraId="696D1C00" w14:textId="77777777" w:rsidR="00A77B3E" w:rsidRDefault="00A77B3E">
      <w:pPr>
        <w:spacing w:after="240"/>
        <w:rPr>
          <w:rFonts w:ascii="Calibri" w:eastAsia="Calibri" w:hAnsi="Calibri" w:cs="Calibri"/>
          <w:color w:val="000000"/>
          <w:sz w:val="22"/>
        </w:rPr>
      </w:pPr>
    </w:p>
    <w:p w14:paraId="19D80EE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2a.04) Select the levels of analysis for which the measure is tested.</w:t>
      </w:r>
    </w:p>
    <w:p w14:paraId="10C0AB22"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t>Testing must be provided for all the levels specified and intended for measure implementation, e.g., individual clinician, hospital, health plan.</w:t>
      </w:r>
    </w:p>
    <w:p w14:paraId="4A71EA74"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t>Please refrain from selecting the following answer option(s). We are in the process of phasing out these answer options and request that you instead select one of the other answer options as they apply to your measure.</w:t>
      </w:r>
    </w:p>
    <w:p w14:paraId="0F3C3956" w14:textId="77777777" w:rsidR="00A77B3E" w:rsidRDefault="00000000">
      <w:pPr>
        <w:spacing w:after="240"/>
        <w:rPr>
          <w:rFonts w:ascii="Calibri" w:eastAsia="Calibri" w:hAnsi="Calibri" w:cs="Calibri"/>
          <w:i/>
          <w:color w:val="000000"/>
          <w:sz w:val="22"/>
        </w:rPr>
      </w:pPr>
      <w:r>
        <w:rPr>
          <w:rFonts w:ascii="Calibri" w:eastAsia="Calibri" w:hAnsi="Calibri" w:cs="Calibri"/>
          <w:i/>
          <w:iCs/>
          <w:color w:val="000000"/>
          <w:sz w:val="22"/>
        </w:rPr>
        <w:t>Please do not select:</w:t>
      </w:r>
    </w:p>
    <w:p w14:paraId="14705FE0" w14:textId="77777777" w:rsidR="00A77B3E" w:rsidRDefault="00000000">
      <w:pPr>
        <w:numPr>
          <w:ilvl w:val="0"/>
          <w:numId w:val="5"/>
        </w:numPr>
        <w:spacing w:after="240"/>
        <w:rPr>
          <w:rFonts w:ascii="Calibri" w:eastAsia="Calibri" w:hAnsi="Calibri" w:cs="Calibri"/>
          <w:i/>
          <w:color w:val="000000"/>
          <w:sz w:val="22"/>
        </w:rPr>
      </w:pPr>
      <w:r>
        <w:rPr>
          <w:rFonts w:ascii="Calibri" w:eastAsia="Calibri" w:hAnsi="Calibri" w:cs="Calibri"/>
          <w:i/>
          <w:iCs/>
          <w:color w:val="000000"/>
          <w:sz w:val="22"/>
        </w:rPr>
        <w:lastRenderedPageBreak/>
        <w:t>Clinician: Clinician</w:t>
      </w:r>
    </w:p>
    <w:p w14:paraId="361AE0BA" w14:textId="77777777" w:rsidR="00A77B3E" w:rsidRDefault="00000000">
      <w:pPr>
        <w:numPr>
          <w:ilvl w:val="0"/>
          <w:numId w:val="5"/>
        </w:numPr>
        <w:spacing w:after="240"/>
        <w:rPr>
          <w:rFonts w:ascii="Calibri" w:eastAsia="Calibri" w:hAnsi="Calibri" w:cs="Calibri"/>
          <w:i/>
          <w:color w:val="000000"/>
          <w:sz w:val="22"/>
        </w:rPr>
      </w:pPr>
      <w:r>
        <w:rPr>
          <w:rFonts w:ascii="Calibri" w:eastAsia="Calibri" w:hAnsi="Calibri" w:cs="Calibri"/>
          <w:i/>
          <w:iCs/>
          <w:color w:val="000000"/>
          <w:sz w:val="22"/>
        </w:rPr>
        <w:t>Population: Population</w:t>
      </w:r>
    </w:p>
    <w:p w14:paraId="402C1CE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01C02DF" wp14:editId="1DA6E0BB">
            <wp:extent cx="126984" cy="126984"/>
            <wp:effectExtent l="0" t="0" r="0" b="0"/>
            <wp:docPr id="100507" name="Picture 100507" descr="Accountable Care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8"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Accountable Care Organization  </w:t>
      </w:r>
    </w:p>
    <w:p w14:paraId="775EBCB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60836DC" wp14:editId="242D4FFE">
            <wp:extent cx="126984" cy="126984"/>
            <wp:effectExtent l="0" t="0" r="0" b="0"/>
            <wp:docPr id="100509" name="Picture 100509" descr="Clinician: Clinic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0"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Clinician: Clinician  </w:t>
      </w:r>
    </w:p>
    <w:p w14:paraId="087B762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9629458" wp14:editId="55E1E256">
            <wp:extent cx="126984" cy="126984"/>
            <wp:effectExtent l="0" t="0" r="0" b="0"/>
            <wp:docPr id="100511" name="Picture 100511" descr="Clinician: Group/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2"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Clinician: Group/Practice  </w:t>
      </w:r>
    </w:p>
    <w:p w14:paraId="03717C2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5B4EC82" wp14:editId="18E22D51">
            <wp:extent cx="126984" cy="126984"/>
            <wp:effectExtent l="0" t="0" r="0" b="0"/>
            <wp:docPr id="100513" name="Picture 100513" descr="Clinician: Individ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4"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Clinician: Individual  </w:t>
      </w:r>
    </w:p>
    <w:p w14:paraId="33B5D6C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7F13A18" wp14:editId="3C4E7101">
            <wp:extent cx="126984" cy="126984"/>
            <wp:effectExtent l="0" t="0" r="0" b="0"/>
            <wp:docPr id="100515" name="Picture 100515" descr="Fac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6"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Facility  </w:t>
      </w:r>
    </w:p>
    <w:p w14:paraId="61FCDFD0"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851F560" wp14:editId="6B3F3EB0">
            <wp:extent cx="126984" cy="126984"/>
            <wp:effectExtent l="0" t="0" r="0" b="0"/>
            <wp:docPr id="100517" name="Picture 100517" descr="Health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8"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Health Plan  </w:t>
      </w:r>
    </w:p>
    <w:p w14:paraId="3D231AC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454C578" wp14:editId="73287D35">
            <wp:extent cx="126984" cy="126984"/>
            <wp:effectExtent l="0" t="0" r="0" b="0"/>
            <wp:docPr id="100519" name="Picture 100519" descr="Integrated Delivery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0"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Integrated Delivery System  </w:t>
      </w:r>
    </w:p>
    <w:p w14:paraId="06C6696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3585AC1" wp14:editId="1F9E8BBC">
            <wp:extent cx="126984" cy="126984"/>
            <wp:effectExtent l="0" t="0" r="0" b="0"/>
            <wp:docPr id="100521" name="Picture 100521"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2"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04C687F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0637B3F" wp14:editId="237BF276">
            <wp:extent cx="126984" cy="126984"/>
            <wp:effectExtent l="0" t="0" r="0" b="0"/>
            <wp:docPr id="100523" name="Picture 100523" descr="Population: Community, County or 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4"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 Community, County or City  </w:t>
      </w:r>
    </w:p>
    <w:p w14:paraId="4F5A9F4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51152C9" wp14:editId="64A1D284">
            <wp:extent cx="126984" cy="126984"/>
            <wp:effectExtent l="0" t="0" r="0" b="0"/>
            <wp:docPr id="100525" name="Picture 100525" descr="Population: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6"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 Population  </w:t>
      </w:r>
    </w:p>
    <w:p w14:paraId="629DB93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F160891" wp14:editId="7B536AC1">
            <wp:extent cx="126984" cy="126984"/>
            <wp:effectExtent l="0" t="0" r="0" b="0"/>
            <wp:docPr id="100527" name="Picture 100527" descr="Population: Regional and 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8"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Population: Regional and State  </w:t>
      </w:r>
    </w:p>
    <w:p w14:paraId="57D66870" w14:textId="77777777" w:rsidR="00A77B3E" w:rsidRDefault="00A77B3E">
      <w:pPr>
        <w:spacing w:after="240"/>
        <w:rPr>
          <w:rFonts w:ascii="Calibri" w:eastAsia="Calibri" w:hAnsi="Calibri" w:cs="Calibri"/>
          <w:color w:val="000000"/>
          <w:sz w:val="22"/>
        </w:rPr>
      </w:pPr>
    </w:p>
    <w:p w14:paraId="5771702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2a.05) List the measured entities included in the testing and analysis (by level of analysis and data source).</w:t>
      </w:r>
    </w:p>
    <w:p w14:paraId="35E82504"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Identify the number and descriptive characteristics of measured entities included in the analysis (e.g., size, location, type); if a sample was used, describe how entities were selected for inclusion in the </w:t>
      </w:r>
      <w:proofErr w:type="spellStart"/>
      <w:r>
        <w:rPr>
          <w:rFonts w:ascii="Calibri" w:eastAsia="Calibri" w:hAnsi="Calibri" w:cs="Calibri"/>
          <w:i/>
          <w:iCs/>
          <w:color w:val="000000"/>
          <w:sz w:val="22"/>
        </w:rPr>
        <w:t>sample.</w:t>
      </w:r>
      <w:r>
        <w:rPr>
          <w:rFonts w:ascii="Calibri" w:eastAsia="Calibri" w:hAnsi="Calibri" w:cs="Calibri"/>
          <w:color w:val="000000"/>
          <w:sz w:val="22"/>
        </w:rPr>
        <w:t>Over</w:t>
      </w:r>
      <w:proofErr w:type="spellEnd"/>
      <w:r>
        <w:rPr>
          <w:rFonts w:ascii="Calibri" w:eastAsia="Calibri" w:hAnsi="Calibri" w:cs="Calibri"/>
          <w:color w:val="000000"/>
          <w:sz w:val="22"/>
        </w:rPr>
        <w:t xml:space="preserve"> the reporting period from 2017 through 2019, there were 2,202 practitioner groups included in these analyses, after restricting to practitioner group practices that had at least 11 eligible patients and at least 2 expected events.</w:t>
      </w:r>
    </w:p>
    <w:p w14:paraId="25E0E1AC" w14:textId="77777777" w:rsidR="00A77B3E" w:rsidRDefault="00A77B3E">
      <w:pPr>
        <w:spacing w:after="240"/>
        <w:rPr>
          <w:rFonts w:ascii="Calibri" w:eastAsia="Calibri" w:hAnsi="Calibri" w:cs="Calibri"/>
          <w:color w:val="000000"/>
          <w:sz w:val="22"/>
        </w:rPr>
      </w:pPr>
    </w:p>
    <w:p w14:paraId="3F3E4772"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2a.06) Identify the number and descriptive characteristics of patients included in the analysis (e.g., age, sex, race, diagnosis), separated by level of analysis and data source; if a sample was used, describe how patients were selected for inclusion in the sample.</w:t>
      </w:r>
    </w:p>
    <w:p w14:paraId="5347B096"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If there is a minimum case count used for testing, that minimum must be reflected in the </w:t>
      </w:r>
      <w:proofErr w:type="spellStart"/>
      <w:r>
        <w:rPr>
          <w:rFonts w:ascii="Calibri" w:eastAsia="Calibri" w:hAnsi="Calibri" w:cs="Calibri"/>
          <w:i/>
          <w:iCs/>
          <w:color w:val="000000"/>
          <w:sz w:val="22"/>
        </w:rPr>
        <w:t>specifications.</w:t>
      </w:r>
      <w:r>
        <w:rPr>
          <w:rFonts w:ascii="Calibri" w:eastAsia="Calibri" w:hAnsi="Calibri" w:cs="Calibri"/>
          <w:color w:val="000000"/>
          <w:sz w:val="22"/>
        </w:rPr>
        <w:t>There</w:t>
      </w:r>
      <w:proofErr w:type="spellEnd"/>
      <w:r>
        <w:rPr>
          <w:rFonts w:ascii="Calibri" w:eastAsia="Calibri" w:hAnsi="Calibri" w:cs="Calibri"/>
          <w:color w:val="000000"/>
          <w:sz w:val="22"/>
        </w:rPr>
        <w:t xml:space="preserve"> were 362,093 patients in total. The average age at their initiation of dialysis was 58.8 years old, 42.5% were female, 58.4% were White, 35.5% were Black, 4.4% were Asian/Pacific Islander, 1.5% were American Indian/Alaskan Native, 0.2% were Other/Multi-racial/Unknown and 16.6% were Hispanic.</w:t>
      </w:r>
    </w:p>
    <w:p w14:paraId="004E51F9" w14:textId="77777777" w:rsidR="00A77B3E" w:rsidRDefault="00A77B3E">
      <w:pPr>
        <w:spacing w:after="240"/>
        <w:rPr>
          <w:rFonts w:ascii="Calibri" w:eastAsia="Calibri" w:hAnsi="Calibri" w:cs="Calibri"/>
          <w:color w:val="000000"/>
          <w:sz w:val="22"/>
        </w:rPr>
      </w:pPr>
    </w:p>
    <w:p w14:paraId="57AB6B03"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lastRenderedPageBreak/>
        <w:t>2a.07) If there are differences in the data or sample used for different aspects of testing (e.g., reliability, validity, exclusions, risk adjustment), identify how the data or sample are different for each aspect of testing.</w:t>
      </w:r>
    </w:p>
    <w:p w14:paraId="66353CB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23670C8D" w14:textId="77777777" w:rsidR="00A77B3E" w:rsidRDefault="00A77B3E">
      <w:pPr>
        <w:spacing w:after="240"/>
        <w:rPr>
          <w:rFonts w:ascii="Calibri" w:eastAsia="Calibri" w:hAnsi="Calibri" w:cs="Calibri"/>
          <w:color w:val="000000"/>
          <w:sz w:val="22"/>
        </w:rPr>
      </w:pPr>
    </w:p>
    <w:p w14:paraId="43594F6B"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2a.08) List the social risk factors that were available and analyzed.</w:t>
      </w:r>
    </w:p>
    <w:p w14:paraId="54489FAD"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For example, patient-reported data (e.g., income, education, language), proxy variables when social risk data are not collected from each patient (e.g. census tract), or patient community characteristics (e.g. percent vacant housing, crime rate) which do not have to be a proxy for patient-level data. </w:t>
      </w:r>
    </w:p>
    <w:p w14:paraId="0122879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Patient level:</w:t>
      </w:r>
    </w:p>
    <w:p w14:paraId="24B87A3C" w14:textId="77777777" w:rsidR="00A77B3E" w:rsidRDefault="00000000">
      <w:pPr>
        <w:numPr>
          <w:ilvl w:val="0"/>
          <w:numId w:val="6"/>
        </w:numPr>
        <w:spacing w:after="240"/>
        <w:rPr>
          <w:rFonts w:ascii="Calibri" w:eastAsia="Calibri" w:hAnsi="Calibri" w:cs="Calibri"/>
          <w:color w:val="000000"/>
          <w:sz w:val="22"/>
        </w:rPr>
      </w:pPr>
      <w:r>
        <w:rPr>
          <w:rFonts w:ascii="Calibri" w:eastAsia="Calibri" w:hAnsi="Calibri" w:cs="Calibri"/>
          <w:color w:val="000000"/>
          <w:sz w:val="22"/>
        </w:rPr>
        <w:t>Sex (we acknowledge that sex is less recognized as a social risk factor but it is being increasingly considered as such especially given its relationship to gender [see for example, O’Neil et al. Gender/Sex as a social determinant of cardiovascular risk. Circulation 2018;137:854], and have therefore chosen to include an assessment of it in our analysis)</w:t>
      </w:r>
    </w:p>
    <w:p w14:paraId="5436031F" w14:textId="77777777" w:rsidR="00A77B3E" w:rsidRDefault="00000000">
      <w:pPr>
        <w:numPr>
          <w:ilvl w:val="0"/>
          <w:numId w:val="6"/>
        </w:numPr>
        <w:spacing w:after="240"/>
        <w:rPr>
          <w:rFonts w:ascii="Calibri" w:eastAsia="Calibri" w:hAnsi="Calibri" w:cs="Calibri"/>
          <w:color w:val="000000"/>
          <w:sz w:val="22"/>
        </w:rPr>
      </w:pPr>
      <w:r>
        <w:rPr>
          <w:rFonts w:ascii="Calibri" w:eastAsia="Calibri" w:hAnsi="Calibri" w:cs="Calibri"/>
          <w:color w:val="000000"/>
          <w:sz w:val="22"/>
        </w:rPr>
        <w:t>Race</w:t>
      </w:r>
    </w:p>
    <w:p w14:paraId="3722B1DD" w14:textId="77777777" w:rsidR="00A77B3E" w:rsidRDefault="00000000">
      <w:pPr>
        <w:numPr>
          <w:ilvl w:val="0"/>
          <w:numId w:val="6"/>
        </w:numPr>
        <w:spacing w:after="240"/>
        <w:rPr>
          <w:rFonts w:ascii="Calibri" w:eastAsia="Calibri" w:hAnsi="Calibri" w:cs="Calibri"/>
          <w:color w:val="000000"/>
          <w:sz w:val="22"/>
        </w:rPr>
      </w:pPr>
      <w:r>
        <w:rPr>
          <w:rFonts w:ascii="Calibri" w:eastAsia="Calibri" w:hAnsi="Calibri" w:cs="Calibri"/>
          <w:color w:val="000000"/>
          <w:sz w:val="22"/>
        </w:rPr>
        <w:t>Ethnicity</w:t>
      </w:r>
    </w:p>
    <w:p w14:paraId="490E352A" w14:textId="77777777" w:rsidR="00A77B3E" w:rsidRDefault="00000000">
      <w:pPr>
        <w:numPr>
          <w:ilvl w:val="0"/>
          <w:numId w:val="6"/>
        </w:numPr>
        <w:spacing w:after="240"/>
        <w:rPr>
          <w:rFonts w:ascii="Calibri" w:eastAsia="Calibri" w:hAnsi="Calibri" w:cs="Calibri"/>
          <w:color w:val="000000"/>
          <w:sz w:val="22"/>
        </w:rPr>
      </w:pPr>
      <w:r>
        <w:rPr>
          <w:rFonts w:ascii="Calibri" w:eastAsia="Calibri" w:hAnsi="Calibri" w:cs="Calibri"/>
          <w:color w:val="000000"/>
          <w:sz w:val="22"/>
        </w:rPr>
        <w:t>Medicare-Medicaid dual eligibility</w:t>
      </w:r>
    </w:p>
    <w:p w14:paraId="411A69D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Data on patient level factors obtained from Medicare claims and administrative data.</w:t>
      </w:r>
    </w:p>
    <w:p w14:paraId="2D5B584A" w14:textId="77777777" w:rsidR="00A77B3E" w:rsidRDefault="00000000">
      <w:pPr>
        <w:spacing w:after="240"/>
        <w:rPr>
          <w:rFonts w:ascii="Calibri" w:eastAsia="Calibri" w:hAnsi="Calibri" w:cs="Calibri"/>
          <w:color w:val="000000"/>
          <w:sz w:val="22"/>
        </w:rPr>
      </w:pPr>
      <w:proofErr w:type="spellStart"/>
      <w:r>
        <w:rPr>
          <w:rFonts w:ascii="Calibri" w:eastAsia="Calibri" w:hAnsi="Calibri" w:cs="Calibri"/>
          <w:color w:val="000000"/>
          <w:sz w:val="22"/>
        </w:rPr>
        <w:t>Zipcode</w:t>
      </w:r>
      <w:proofErr w:type="spellEnd"/>
      <w:r>
        <w:rPr>
          <w:rFonts w:ascii="Calibri" w:eastAsia="Calibri" w:hAnsi="Calibri" w:cs="Calibri"/>
          <w:color w:val="000000"/>
          <w:sz w:val="22"/>
        </w:rPr>
        <w:t xml:space="preserve"> level – ADI from 2015 Census data.</w:t>
      </w:r>
    </w:p>
    <w:p w14:paraId="2456DA0A" w14:textId="77777777" w:rsidR="00A77B3E" w:rsidRDefault="00A77B3E">
      <w:pPr>
        <w:spacing w:after="240"/>
        <w:rPr>
          <w:rFonts w:ascii="Calibri" w:eastAsia="Calibri" w:hAnsi="Calibri" w:cs="Calibri"/>
          <w:color w:val="000000"/>
          <w:sz w:val="22"/>
        </w:rPr>
      </w:pPr>
    </w:p>
    <w:p w14:paraId="32F76C3A" w14:textId="77777777" w:rsidR="00A77B3E" w:rsidRDefault="00A77B3E">
      <w:pPr>
        <w:spacing w:after="240"/>
        <w:rPr>
          <w:rFonts w:ascii="Calibri" w:eastAsia="Calibri" w:hAnsi="Calibri" w:cs="Calibri"/>
          <w:color w:val="000000"/>
          <w:sz w:val="22"/>
        </w:rPr>
      </w:pPr>
    </w:p>
    <w:p w14:paraId="58FFC88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Note: If accuracy/correctness (validity) of data elements was empirically tested, separate reliability testing of data elements is not required – in 2a.09 check patient or encounter-level data; in 2a.010 enter “see validity testing section of data elements”; and enter “N/A” for 2a.11 and 2a.12. </w:t>
      </w:r>
    </w:p>
    <w:p w14:paraId="67BDE77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2a.09) Select the level of reliability testing conducted.</w:t>
      </w:r>
    </w:p>
    <w:p w14:paraId="7B65D868"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Choose one or both levels.</w:t>
      </w:r>
      <w:r>
        <w:rPr>
          <w:rFonts w:ascii="Calibri" w:eastAsia="Calibri" w:hAnsi="Calibri" w:cs="Calibri"/>
          <w:noProof/>
          <w:color w:val="000000"/>
          <w:sz w:val="22"/>
        </w:rPr>
        <w:drawing>
          <wp:inline distT="0" distB="0" distL="0" distR="0" wp14:anchorId="4A336446" wp14:editId="309ABC81">
            <wp:extent cx="126984" cy="126984"/>
            <wp:effectExtent l="0" t="0" r="0" b="0"/>
            <wp:docPr id="100529" name="Picture 100529" descr="Patient or Encounter-Level (e.g., inter-abstractor reliability; data element reliability must address ALL critical data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0"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Patient or Encounter-Level (e.g., inter-abstractor reliability; data element reliability must address ALL critical data elements)  </w:t>
      </w:r>
    </w:p>
    <w:p w14:paraId="0D2C0A9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B3E69FE" wp14:editId="647519E6">
            <wp:extent cx="126984" cy="126984"/>
            <wp:effectExtent l="0" t="0" r="0" b="0"/>
            <wp:docPr id="100531" name="Picture 100531" descr="Accountable Entity Level (e.g., signal-to-noise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2"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Accountable Entity Level (e.g., signal-to-noise analysis)  </w:t>
      </w:r>
    </w:p>
    <w:p w14:paraId="6D9FF430" w14:textId="77777777" w:rsidR="00A77B3E" w:rsidRDefault="00A77B3E">
      <w:pPr>
        <w:spacing w:after="240"/>
        <w:rPr>
          <w:rFonts w:ascii="Calibri" w:eastAsia="Calibri" w:hAnsi="Calibri" w:cs="Calibri"/>
          <w:color w:val="000000"/>
          <w:sz w:val="22"/>
        </w:rPr>
      </w:pPr>
    </w:p>
    <w:p w14:paraId="2C67B66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2a.10) For each level of reliability testing checked above, describe the method of reliability testing and what it tests.</w:t>
      </w:r>
    </w:p>
    <w:p w14:paraId="21CD1C55"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lastRenderedPageBreak/>
        <w:t>Describe the steps―do not just name a method; what type of error does it test; what statistical analysis was used.</w:t>
      </w:r>
    </w:p>
    <w:p w14:paraId="54C4A1F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We used January 2017 – December 2019 data to calculate the Prevalent Standardized Waitlist Ratio. Our approach for determining measure reliability aligns with one-way analysis of variance (ANOVA), in which the between dialysis provider group practice variation (</w:t>
      </w:r>
      <m:oMath>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b</m:t>
            </m:r>
          </m:sub>
          <m:sup>
            <m:r>
              <w:rPr>
                <w:rFonts w:ascii="Cambria Math" w:eastAsia="Cambria Math" w:hAnsi="Cambria Math" w:cs="Cambria Math"/>
              </w:rPr>
              <m:t>2</m:t>
            </m:r>
          </m:sup>
        </m:sSubSup>
      </m:oMath>
      <w:r>
        <w:rPr>
          <w:rFonts w:ascii="Calibri" w:eastAsia="Calibri" w:hAnsi="Calibri" w:cs="Calibri"/>
          <w:color w:val="000000"/>
          <w:sz w:val="22"/>
        </w:rPr>
        <w:t>) and the within- dialysis provider group practice variation (</w:t>
      </w:r>
      <m:oMath>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t,w</m:t>
            </m:r>
          </m:sub>
          <m:sup>
            <m:r>
              <w:rPr>
                <w:rFonts w:ascii="Cambria Math" w:eastAsia="Cambria Math" w:hAnsi="Cambria Math" w:cs="Cambria Math"/>
              </w:rPr>
              <m:t>2</m:t>
            </m:r>
          </m:sup>
        </m:sSubSup>
      </m:oMath>
      <w:r>
        <w:rPr>
          <w:rFonts w:ascii="Calibri" w:eastAsia="Calibri" w:hAnsi="Calibri" w:cs="Calibri"/>
          <w:color w:val="000000"/>
          <w:sz w:val="22"/>
        </w:rPr>
        <w:t>) in the measure is determined. The inter-unit reliability (IUR) measures the proportion of the total variation of the measure (i.e., </w:t>
      </w:r>
      <m:oMath>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b</m:t>
            </m:r>
          </m:sub>
          <m:sup>
            <m:r>
              <w:rPr>
                <w:rFonts w:ascii="Cambria Math" w:eastAsia="Cambria Math" w:hAnsi="Cambria Math" w:cs="Cambria Math"/>
              </w:rPr>
              <m:t>2</m:t>
            </m:r>
          </m:sup>
        </m:sSubSup>
        <m:r>
          <w:rPr>
            <w:rFonts w:ascii="Cambria Math" w:eastAsia="Cambria Math" w:hAnsi="Cambria Math" w:cs="Cambria Math"/>
          </w:rPr>
          <m:t>+</m:t>
        </m:r>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t,w</m:t>
            </m:r>
          </m:sub>
          <m:sup>
            <m:r>
              <w:rPr>
                <w:rFonts w:ascii="Cambria Math" w:eastAsia="Cambria Math" w:hAnsi="Cambria Math" w:cs="Cambria Math"/>
              </w:rPr>
              <m:t>2</m:t>
            </m:r>
          </m:sup>
        </m:sSubSup>
      </m:oMath>
      <w:r>
        <w:rPr>
          <w:rFonts w:ascii="Calibri" w:eastAsia="Calibri" w:hAnsi="Calibri" w:cs="Calibri"/>
          <w:color w:val="000000"/>
          <w:sz w:val="22"/>
        </w:rPr>
        <w:t>) that is attributed to the between – dialysis provider group practice variation, the true signal reflects the differences across dialysis provider group practices. We assessed reliability by calculating inter-unit reliability (IUR) for the annual performance scores. If the measure were an average of the individuals’ measurements under the care of one dialysis provider group practice, the usual ANOVA approach would be used. The yearly based measure, however, is not a simple average and we instead estimate the IUR using a bootstrap approach, which uses a resampling scheme to estimate the within dialysis provider group practice variation that cannot be directly estimated by ANOVA. A small IUR (near 0) reveals that most of the variation of the measures between dialysis provider group practices is driven by random noise, indicating the measure would not be a good characterization of the differences among dialysis provider group practices. A large IUR (near 1) indicates that most of the variation between dialysis provider group practices is due to the real different between dialysis provider group practices.</w:t>
      </w:r>
    </w:p>
    <w:p w14:paraId="1686B70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Below is our approach to calculate IUR.</w:t>
      </w:r>
    </w:p>
    <w:p w14:paraId="4928851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Let </w:t>
      </w:r>
      <w:r>
        <w:rPr>
          <w:rFonts w:ascii="Calibri" w:eastAsia="Calibri" w:hAnsi="Calibri" w:cs="Calibri"/>
          <w:i/>
          <w:iCs/>
          <w:color w:val="000000"/>
          <w:sz w:val="22"/>
        </w:rPr>
        <w:t>T</w:t>
      </w:r>
      <w:r>
        <w:rPr>
          <w:rFonts w:ascii="Calibri" w:eastAsia="Calibri" w:hAnsi="Calibri" w:cs="Calibri"/>
          <w:color w:val="000000"/>
          <w:sz w:val="22"/>
          <w:vertAlign w:val="subscript"/>
        </w:rPr>
        <w:t>1</w:t>
      </w:r>
      <w:r>
        <w:rPr>
          <w:rFonts w:ascii="Calibri" w:eastAsia="Calibri" w:hAnsi="Calibri" w:cs="Calibri"/>
          <w:color w:val="000000"/>
          <w:sz w:val="22"/>
        </w:rPr>
        <w:t>,…,</w:t>
      </w:r>
      <w:r>
        <w:rPr>
          <w:rFonts w:ascii="Calibri" w:eastAsia="Calibri" w:hAnsi="Calibri" w:cs="Calibri"/>
          <w:i/>
          <w:iCs/>
          <w:color w:val="000000"/>
          <w:sz w:val="22"/>
        </w:rPr>
        <w:t>T</w:t>
      </w:r>
      <w:r>
        <w:rPr>
          <w:rFonts w:ascii="Calibri" w:eastAsia="Calibri" w:hAnsi="Calibri" w:cs="Calibri"/>
          <w:i/>
          <w:iCs/>
          <w:color w:val="000000"/>
          <w:sz w:val="22"/>
          <w:vertAlign w:val="subscript"/>
        </w:rPr>
        <w:t>N</w:t>
      </w:r>
      <w:r>
        <w:rPr>
          <w:rFonts w:ascii="Calibri" w:eastAsia="Calibri" w:hAnsi="Calibri" w:cs="Calibri"/>
          <w:color w:val="000000"/>
          <w:sz w:val="22"/>
        </w:rPr>
        <w:t xml:space="preserve"> be the PSWRs for </w:t>
      </w:r>
      <w:r>
        <w:rPr>
          <w:rFonts w:ascii="Calibri" w:eastAsia="Calibri" w:hAnsi="Calibri" w:cs="Calibri"/>
          <w:i/>
          <w:iCs/>
          <w:color w:val="000000"/>
          <w:sz w:val="22"/>
        </w:rPr>
        <w:t>N</w:t>
      </w:r>
      <w:r>
        <w:rPr>
          <w:rFonts w:ascii="Calibri" w:eastAsia="Calibri" w:hAnsi="Calibri" w:cs="Calibri"/>
          <w:color w:val="000000"/>
          <w:sz w:val="22"/>
        </w:rPr>
        <w:t xml:space="preserve"> provider groups. Within each practitioner group, select at random and with replacement B = 100 bootstrap samples. That is, if the </w:t>
      </w:r>
      <m:oMath>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th</m:t>
            </m:r>
          </m:sup>
        </m:sSup>
      </m:oMath>
      <w:r>
        <w:rPr>
          <w:rFonts w:ascii="Calibri" w:eastAsia="Calibri" w:hAnsi="Calibri" w:cs="Calibri"/>
          <w:color w:val="000000"/>
          <w:sz w:val="22"/>
        </w:rPr>
        <w:t>practitioner group has </w:t>
      </w:r>
      <m:oMath>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oMath>
      <w:r>
        <w:rPr>
          <w:rFonts w:ascii="Calibri" w:eastAsia="Calibri" w:hAnsi="Calibri" w:cs="Calibri"/>
          <w:color w:val="000000"/>
          <w:sz w:val="22"/>
        </w:rPr>
        <w:t> subjects, randomly draw with replacement </w:t>
      </w:r>
      <m:oMath>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oMath>
      <w:r>
        <w:rPr>
          <w:rFonts w:ascii="Calibri" w:eastAsia="Calibri" w:hAnsi="Calibri" w:cs="Calibri"/>
          <w:color w:val="000000"/>
          <w:sz w:val="22"/>
        </w:rPr>
        <w:t> subjects from those in the same practitioner group, find their corresponding PSWRs and repeat the process 100 times. Thus, for the </w:t>
      </w:r>
      <m:oMath>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th</m:t>
            </m:r>
          </m:sup>
        </m:sSup>
      </m:oMath>
      <w:r>
        <w:rPr>
          <w:rFonts w:ascii="Calibri" w:eastAsia="Calibri" w:hAnsi="Calibri" w:cs="Calibri"/>
          <w:color w:val="000000"/>
          <w:sz w:val="22"/>
        </w:rPr>
        <w:t> practitioner group, we have bootstrapped PSWRs of </w:t>
      </w:r>
      <m:oMath>
        <m:sSubSup>
          <m:sSubSupPr>
            <m:ctrlPr>
              <w:rPr>
                <w:rFonts w:ascii="Cambria Math" w:hAnsi="Cambria Math"/>
              </w:rPr>
            </m:ctrlPr>
          </m:sSubSupPr>
          <m:e>
            <m:r>
              <w:rPr>
                <w:rFonts w:ascii="Cambria Math" w:eastAsia="Cambria Math" w:hAnsi="Cambria Math" w:cs="Cambria Math"/>
              </w:rPr>
              <m:t>T</m:t>
            </m:r>
          </m:e>
          <m:sub>
            <m:r>
              <w:rPr>
                <w:rFonts w:ascii="Cambria Math" w:eastAsia="Cambria Math" w:hAnsi="Cambria Math" w:cs="Cambria Math"/>
              </w:rPr>
              <m:t>i1</m:t>
            </m:r>
          </m:sub>
          <m:sup>
            <m:r>
              <w:rPr>
                <w:rFonts w:ascii="Cambria Math" w:eastAsia="Cambria Math" w:hAnsi="Cambria Math" w:cs="Cambria Math"/>
              </w:rPr>
              <m:t>*</m:t>
            </m:r>
          </m:sup>
        </m:sSubSup>
      </m:oMath>
      <w:r>
        <w:rPr>
          <w:rFonts w:ascii="Calibri" w:eastAsia="Calibri" w:hAnsi="Calibri" w:cs="Calibri"/>
          <w:color w:val="000000"/>
          <w:sz w:val="22"/>
        </w:rPr>
        <w:t>…, </w:t>
      </w:r>
      <m:oMath>
        <m:sSubSup>
          <m:sSubSupPr>
            <m:ctrlPr>
              <w:rPr>
                <w:rFonts w:ascii="Cambria Math" w:hAnsi="Cambria Math"/>
              </w:rPr>
            </m:ctrlPr>
          </m:sSubSupPr>
          <m:e>
            <m:r>
              <w:rPr>
                <w:rFonts w:ascii="Cambria Math" w:eastAsia="Cambria Math" w:hAnsi="Cambria Math" w:cs="Cambria Math"/>
              </w:rPr>
              <m:t>T</m:t>
            </m:r>
          </m:e>
          <m:sub>
            <m:r>
              <w:rPr>
                <w:rFonts w:ascii="Cambria Math" w:eastAsia="Cambria Math" w:hAnsi="Cambria Math" w:cs="Cambria Math"/>
              </w:rPr>
              <m:t>i100</m:t>
            </m:r>
          </m:sub>
          <m:sup>
            <m:r>
              <w:rPr>
                <w:rFonts w:ascii="Cambria Math" w:eastAsia="Cambria Math" w:hAnsi="Cambria Math" w:cs="Cambria Math"/>
              </w:rPr>
              <m:t>*</m:t>
            </m:r>
          </m:sup>
        </m:sSubSup>
      </m:oMath>
      <w:r>
        <w:rPr>
          <w:rFonts w:ascii="Calibri" w:eastAsia="Calibri" w:hAnsi="Calibri" w:cs="Calibri"/>
          <w:color w:val="000000"/>
          <w:sz w:val="22"/>
        </w:rPr>
        <w:t> Let </w:t>
      </w:r>
      <m:oMath>
        <m:sSubSup>
          <m:sSubSupPr>
            <m:ctrlPr>
              <w:rPr>
                <w:rFonts w:ascii="Cambria Math" w:hAnsi="Cambria Math"/>
              </w:rPr>
            </m:ctrlPr>
          </m:sSubSupPr>
          <m:e>
            <m:r>
              <w:rPr>
                <w:rFonts w:ascii="Cambria Math" w:eastAsia="Cambria Math" w:hAnsi="Cambria Math" w:cs="Cambria Math"/>
              </w:rPr>
              <m:t>S</m:t>
            </m:r>
          </m:e>
          <m:sub>
            <m:r>
              <w:rPr>
                <w:rFonts w:ascii="Cambria Math" w:eastAsia="Cambria Math" w:hAnsi="Cambria Math" w:cs="Cambria Math"/>
              </w:rPr>
              <m:t>i</m:t>
            </m:r>
          </m:sub>
          <m:sup>
            <m:r>
              <w:rPr>
                <w:rFonts w:ascii="Cambria Math" w:eastAsia="Cambria Math" w:hAnsi="Cambria Math" w:cs="Cambria Math"/>
              </w:rPr>
              <m:t>*</m:t>
            </m:r>
          </m:sup>
        </m:sSubSup>
      </m:oMath>
      <w:r>
        <w:rPr>
          <w:rFonts w:ascii="Calibri" w:eastAsia="Calibri" w:hAnsi="Calibri" w:cs="Calibri"/>
          <w:color w:val="000000"/>
          <w:sz w:val="22"/>
        </w:rPr>
        <w:t> be the sample variance of this bootstrap sample.  From this it can be seen that</w:t>
      </w:r>
    </w:p>
    <w:p w14:paraId="3287E096" w14:textId="77777777" w:rsidR="00A77B3E" w:rsidRDefault="00000000">
      <w:pPr>
        <w:spacing w:after="240"/>
        <w:jc w:val="center"/>
        <w:rPr>
          <w:rFonts w:ascii="Calibri" w:eastAsia="Calibri" w:hAnsi="Calibri" w:cs="Calibri"/>
          <w:color w:val="000000"/>
          <w:sz w:val="22"/>
        </w:rPr>
      </w:pPr>
      <m:oMath>
        <m:sSubSup>
          <m:sSubSupPr>
            <m:ctrlPr>
              <w:rPr>
                <w:rFonts w:ascii="Cambria Math" w:hAnsi="Cambria Math"/>
              </w:rPr>
            </m:ctrlPr>
          </m:sSubSupPr>
          <m:e>
            <m:r>
              <w:rPr>
                <w:rFonts w:ascii="Cambria Math" w:eastAsia="Cambria Math" w:hAnsi="Cambria Math" w:cs="Cambria Math"/>
              </w:rPr>
              <m:t>s</m:t>
            </m:r>
          </m:e>
          <m:sub>
            <m:r>
              <w:rPr>
                <w:rFonts w:ascii="Cambria Math" w:eastAsia="Cambria Math" w:hAnsi="Cambria Math" w:cs="Cambria Math"/>
              </w:rPr>
              <m:t>t,w</m:t>
            </m:r>
          </m:sub>
          <m:sup>
            <m:r>
              <w:rPr>
                <w:rFonts w:ascii="Cambria Math" w:eastAsia="Cambria Math" w:hAnsi="Cambria Math" w:cs="Cambria Math"/>
              </w:rPr>
              <m:t>2</m:t>
            </m:r>
          </m:sup>
        </m:sSubSup>
        <m:r>
          <w:rPr>
            <w:rFonts w:ascii="Cambria Math" w:eastAsia="Cambria Math" w:hAnsi="Cambria Math" w:cs="Cambria Math"/>
          </w:rPr>
          <m:t>=</m:t>
        </m:r>
        <m:f>
          <m:fPr>
            <m:ctrlPr>
              <w:rPr>
                <w:rFonts w:ascii="Cambria Math" w:hAnsi="Cambria Math"/>
              </w:rPr>
            </m:ctrlPr>
          </m:fPr>
          <m:num>
            <m:sSubSup>
              <m:sSubSupPr>
                <m:ctrlPr>
                  <w:rPr>
                    <w:rFonts w:ascii="Cambria Math" w:hAnsi="Cambria Math"/>
                  </w:rPr>
                </m:ctrlPr>
              </m:sSubSupPr>
              <m:e>
                <m:r>
                  <w:rPr>
                    <w:rFonts w:ascii="Cambria Math" w:eastAsia="Cambria Math" w:hAnsi="Cambria Math" w:cs="Cambria Math"/>
                  </w:rPr>
                  <m:t>∑</m:t>
                </m:r>
              </m:e>
              <m:sub>
                <m:r>
                  <w:rPr>
                    <w:rFonts w:ascii="Cambria Math" w:eastAsia="Cambria Math" w:hAnsi="Cambria Math" w:cs="Cambria Math"/>
                  </w:rPr>
                  <m:t>i=1</m:t>
                </m:r>
              </m:sub>
              <m:sup>
                <m:r>
                  <w:rPr>
                    <w:rFonts w:ascii="Cambria Math" w:eastAsia="Cambria Math" w:hAnsi="Cambria Math" w:cs="Cambria Math"/>
                  </w:rPr>
                  <m:t>N</m:t>
                </m:r>
              </m:sup>
            </m:sSubSup>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r>
              <w:rPr>
                <w:rFonts w:ascii="Cambria Math" w:eastAsia="Cambria Math" w:hAnsi="Cambria Math" w:cs="Cambria Math"/>
              </w:rPr>
              <m:t>-1)</m:t>
            </m:r>
            <m:sSubSup>
              <m:sSubSupPr>
                <m:ctrlPr>
                  <w:rPr>
                    <w:rFonts w:ascii="Cambria Math" w:hAnsi="Cambria Math"/>
                  </w:rPr>
                </m:ctrlPr>
              </m:sSubSupPr>
              <m:e>
                <m:r>
                  <w:rPr>
                    <w:rFonts w:ascii="Cambria Math" w:eastAsia="Cambria Math" w:hAnsi="Cambria Math" w:cs="Cambria Math"/>
                  </w:rPr>
                  <m:t>S</m:t>
                </m:r>
              </m:e>
              <m:sub>
                <m:r>
                  <w:rPr>
                    <w:rFonts w:ascii="Cambria Math" w:eastAsia="Cambria Math" w:hAnsi="Cambria Math" w:cs="Cambria Math"/>
                  </w:rPr>
                  <m:t>i</m:t>
                </m:r>
              </m:sub>
              <m:sup>
                <m:r>
                  <w:rPr>
                    <w:rFonts w:ascii="Cambria Math" w:eastAsia="Cambria Math" w:hAnsi="Cambria Math" w:cs="Cambria Math"/>
                  </w:rPr>
                  <m:t>*2</m:t>
                </m:r>
              </m:sup>
            </m:sSubSup>
            <m:r>
              <w:rPr>
                <w:rFonts w:ascii="Cambria Math" w:eastAsia="Cambria Math" w:hAnsi="Cambria Math" w:cs="Cambria Math"/>
              </w:rPr>
              <m:t>]</m:t>
            </m:r>
          </m:num>
          <m:den>
            <m:sSubSup>
              <m:sSubSupPr>
                <m:ctrlPr>
                  <w:rPr>
                    <w:rFonts w:ascii="Cambria Math" w:hAnsi="Cambria Math"/>
                  </w:rPr>
                </m:ctrlPr>
              </m:sSubSupPr>
              <m:e>
                <m:r>
                  <w:rPr>
                    <w:rFonts w:ascii="Cambria Math" w:eastAsia="Cambria Math" w:hAnsi="Cambria Math" w:cs="Cambria Math"/>
                  </w:rPr>
                  <m:t>∑</m:t>
                </m:r>
              </m:e>
              <m:sub>
                <m:r>
                  <w:rPr>
                    <w:rFonts w:ascii="Cambria Math" w:eastAsia="Cambria Math" w:hAnsi="Cambria Math" w:cs="Cambria Math"/>
                  </w:rPr>
                  <m:t>i=1</m:t>
                </m:r>
              </m:sub>
              <m:sup>
                <m:r>
                  <w:rPr>
                    <w:rFonts w:ascii="Cambria Math" w:eastAsia="Cambria Math" w:hAnsi="Cambria Math" w:cs="Cambria Math"/>
                  </w:rPr>
                  <m:t>N</m:t>
                </m:r>
              </m:sup>
            </m:sSubSup>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r>
              <w:rPr>
                <w:rFonts w:ascii="Cambria Math" w:eastAsia="Cambria Math" w:hAnsi="Cambria Math" w:cs="Cambria Math"/>
              </w:rPr>
              <m:t>-1)</m:t>
            </m:r>
          </m:den>
        </m:f>
      </m:oMath>
      <w:r>
        <w:rPr>
          <w:rFonts w:ascii="Calibri" w:eastAsia="Calibri" w:hAnsi="Calibri" w:cs="Calibri"/>
          <w:color w:val="000000"/>
          <w:sz w:val="22"/>
        </w:rPr>
        <w:t>,</w:t>
      </w:r>
    </w:p>
    <w:p w14:paraId="21BFAAA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and the total variation in PSWRs can be estimated by</w:t>
      </w:r>
    </w:p>
    <w:p w14:paraId="5103233C" w14:textId="77777777" w:rsidR="00A77B3E" w:rsidRDefault="00000000">
      <w:pPr>
        <w:spacing w:after="240"/>
        <w:jc w:val="center"/>
        <w:rPr>
          <w:rFonts w:ascii="Calibri" w:eastAsia="Calibri" w:hAnsi="Calibri" w:cs="Calibri"/>
          <w:color w:val="000000"/>
          <w:sz w:val="22"/>
        </w:rPr>
      </w:pPr>
      <m:oMath>
        <m:sSubSup>
          <m:sSubSupPr>
            <m:ctrlPr>
              <w:rPr>
                <w:rFonts w:ascii="Cambria Math" w:hAnsi="Cambria Math"/>
              </w:rPr>
            </m:ctrlPr>
          </m:sSubSupPr>
          <m:e>
            <m:r>
              <w:rPr>
                <w:rFonts w:ascii="Cambria Math" w:eastAsia="Cambria Math" w:hAnsi="Cambria Math" w:cs="Cambria Math"/>
              </w:rPr>
              <m:t>s</m:t>
            </m:r>
          </m:e>
          <m:sub>
            <m:r>
              <w:rPr>
                <w:rFonts w:ascii="Cambria Math" w:eastAsia="Cambria Math" w:hAnsi="Cambria Math" w:cs="Cambria Math"/>
              </w:rPr>
              <m:t>t</m:t>
            </m:r>
          </m:sub>
          <m:sup>
            <m:r>
              <w:rPr>
                <w:rFonts w:ascii="Cambria Math" w:eastAsia="Cambria Math" w:hAnsi="Cambria Math" w:cs="Cambria Math"/>
              </w:rPr>
              <m:t>2</m:t>
            </m:r>
          </m:sup>
        </m:sSubSup>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n'(N-1)</m:t>
            </m:r>
          </m:den>
        </m:f>
        <m:sSubSup>
          <m:sSubSupPr>
            <m:ctrlPr>
              <w:rPr>
                <w:rFonts w:ascii="Cambria Math" w:hAnsi="Cambria Math"/>
              </w:rPr>
            </m:ctrlPr>
          </m:sSubSupPr>
          <m:e>
            <m:r>
              <w:rPr>
                <w:rFonts w:ascii="Cambria Math" w:eastAsia="Cambria Math" w:hAnsi="Cambria Math" w:cs="Cambria Math"/>
              </w:rPr>
              <m:t>∑</m:t>
            </m:r>
          </m:e>
          <m:sub>
            <m:r>
              <w:rPr>
                <w:rFonts w:ascii="Cambria Math" w:eastAsia="Cambria Math" w:hAnsi="Cambria Math" w:cs="Cambria Math"/>
              </w:rPr>
              <m:t>i=1</m:t>
            </m:r>
          </m:sub>
          <m:sup>
            <m:r>
              <w:rPr>
                <w:rFonts w:ascii="Cambria Math" w:eastAsia="Cambria Math" w:hAnsi="Cambria Math" w:cs="Cambria Math"/>
              </w:rPr>
              <m:t>N</m:t>
            </m:r>
          </m:sup>
        </m:sSubSup>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sSup>
          <m:sSupPr>
            <m:ctrlPr>
              <w:rPr>
                <w:rFonts w:ascii="Cambria Math" w:hAnsi="Cambria Math"/>
              </w:rPr>
            </m:ctrlPr>
          </m:sSupPr>
          <m:e>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i</m:t>
                </m:r>
              </m:sub>
            </m:sSub>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T</m:t>
                </m:r>
              </m:e>
              <m:lim>
                <m:r>
                  <w:rPr>
                    <w:rFonts w:ascii="Cambria Math" w:eastAsia="Cambria Math" w:hAnsi="Cambria Math" w:cs="Cambria Math"/>
                  </w:rPr>
                  <m:t>¯</m:t>
                </m:r>
              </m:lim>
            </m:limUpp>
            <m:r>
              <w:rPr>
                <w:rFonts w:ascii="Cambria Math" w:eastAsia="Cambria Math" w:hAnsi="Cambria Math" w:cs="Cambria Math"/>
              </w:rPr>
              <m:t>)</m:t>
            </m:r>
          </m:e>
          <m:sup>
            <m:r>
              <w:rPr>
                <w:rFonts w:ascii="Cambria Math" w:eastAsia="Cambria Math" w:hAnsi="Cambria Math" w:cs="Cambria Math"/>
              </w:rPr>
              <m:t>2</m:t>
            </m:r>
          </m:sup>
        </m:sSup>
      </m:oMath>
      <w:r>
        <w:rPr>
          <w:rFonts w:ascii="Calibri" w:eastAsia="Calibri" w:hAnsi="Calibri" w:cs="Calibri"/>
          <w:color w:val="000000"/>
          <w:sz w:val="22"/>
        </w:rPr>
        <w:t>,</w:t>
      </w:r>
    </w:p>
    <w:p w14:paraId="006B88B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where </w:t>
      </w:r>
      <m:oMath>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oMath>
      <w:r>
        <w:rPr>
          <w:rFonts w:ascii="Calibri" w:eastAsia="Calibri" w:hAnsi="Calibri" w:cs="Calibri"/>
          <w:color w:val="000000"/>
          <w:sz w:val="22"/>
        </w:rPr>
        <w:t>is the number of subjects in the </w:t>
      </w:r>
      <m:oMath>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th</m:t>
            </m:r>
          </m:sup>
        </m:sSup>
      </m:oMath>
      <w:r>
        <w:rPr>
          <w:rFonts w:ascii="Calibri" w:eastAsia="Calibri" w:hAnsi="Calibri" w:cs="Calibri"/>
          <w:color w:val="000000"/>
          <w:sz w:val="22"/>
        </w:rPr>
        <w:t> provider group, </w:t>
      </w:r>
      <m:oMath>
        <m:limUpp>
          <m:limUppPr>
            <m:ctrlPr>
              <w:rPr>
                <w:rFonts w:ascii="Cambria Math" w:hAnsi="Cambria Math"/>
              </w:rPr>
            </m:ctrlPr>
          </m:limUppPr>
          <m:e>
            <m:r>
              <w:rPr>
                <w:rFonts w:ascii="Cambria Math" w:eastAsia="Cambria Math" w:hAnsi="Cambria Math" w:cs="Cambria Math"/>
              </w:rPr>
              <m:t>T</m:t>
            </m:r>
          </m:e>
          <m:lim>
            <m:r>
              <w:rPr>
                <w:rFonts w:ascii="Cambria Math" w:eastAsia="Cambria Math" w:hAnsi="Cambria Math" w:cs="Cambria Math"/>
              </w:rPr>
              <m:t>¯</m:t>
            </m:r>
          </m:lim>
        </m:limUpp>
        <m:r>
          <w:rPr>
            <w:rFonts w:ascii="Cambria Math" w:eastAsia="Cambria Math" w:hAnsi="Cambria Math" w:cs="Cambria Math"/>
          </w:rPr>
          <m:t>=Σ</m:t>
        </m:r>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i</m:t>
            </m:r>
          </m:sub>
        </m:sSub>
        <m:r>
          <w:rPr>
            <w:rFonts w:ascii="Cambria Math" w:eastAsia="Cambria Math" w:hAnsi="Cambria Math" w:cs="Cambria Math"/>
          </w:rPr>
          <m:t>/Σ</m:t>
        </m:r>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oMath>
      <w:r>
        <w:rPr>
          <w:rFonts w:ascii="Calibri" w:eastAsia="Calibri" w:hAnsi="Calibri" w:cs="Calibri"/>
          <w:color w:val="000000"/>
          <w:sz w:val="22"/>
        </w:rPr>
        <w:t>, and</w:t>
      </w:r>
    </w:p>
    <w:p w14:paraId="3868BF1B" w14:textId="77777777" w:rsidR="00A77B3E" w:rsidRDefault="00000000">
      <w:pPr>
        <w:spacing w:after="240"/>
        <w:jc w:val="center"/>
        <w:rPr>
          <w:rFonts w:ascii="Calibri" w:eastAsia="Calibri" w:hAnsi="Calibri" w:cs="Calibri"/>
          <w:color w:val="000000"/>
          <w:sz w:val="22"/>
        </w:rPr>
      </w:pPr>
      <m:oMathPara>
        <m:oMath>
          <m:r>
            <w:rPr>
              <w:rFonts w:ascii="Cambria Math" w:eastAsia="Cambria Math" w:hAnsi="Cambria Math" w:cs="Cambria Math"/>
            </w:rPr>
            <m:t>n'=</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N-1</m:t>
              </m:r>
            </m:den>
          </m:f>
          <m:r>
            <w:rPr>
              <w:rFonts w:ascii="Cambria Math" w:eastAsia="Cambria Math" w:hAnsi="Cambria Math" w:cs="Cambria Math"/>
            </w:rPr>
            <m:t>(</m:t>
          </m:r>
          <m:limLow>
            <m:limLowPr>
              <m:ctrlPr>
                <w:rPr>
                  <w:rFonts w:ascii="Cambria Math" w:hAnsi="Cambria Math"/>
                </w:rPr>
              </m:ctrlPr>
            </m:limLowPr>
            <m:e>
              <m:r>
                <w:rPr>
                  <w:rFonts w:ascii="Cambria Math" w:eastAsia="Cambria Math" w:hAnsi="Cambria Math" w:cs="Cambria Math"/>
                </w:rPr>
                <m:t>∑</m:t>
              </m:r>
            </m:e>
            <m:lim/>
          </m:limLow>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r>
            <w:rPr>
              <w:rFonts w:ascii="Cambria Math" w:eastAsia="Cambria Math" w:hAnsi="Cambria Math" w:cs="Cambria Math"/>
            </w:rPr>
            <m:t>-</m:t>
          </m:r>
          <m:f>
            <m:fPr>
              <m:type m:val="skw"/>
              <m:ctrlPr>
                <w:rPr>
                  <w:rFonts w:ascii="Cambria Math" w:hAnsi="Cambria Math"/>
                </w:rPr>
              </m:ctrlPr>
            </m:fPr>
            <m:num>
              <m:limLow>
                <m:limLowPr>
                  <m:ctrlPr>
                    <w:rPr>
                      <w:rFonts w:ascii="Cambria Math" w:hAnsi="Cambria Math"/>
                    </w:rPr>
                  </m:ctrlPr>
                </m:limLowPr>
                <m:e>
                  <m:r>
                    <w:rPr>
                      <w:rFonts w:ascii="Cambria Math" w:eastAsia="Cambria Math" w:hAnsi="Cambria Math" w:cs="Cambria Math"/>
                    </w:rPr>
                    <m:t>∑</m:t>
                  </m:r>
                </m:e>
                <m:lim/>
              </m:limLow>
              <m:sSubSup>
                <m:sSubSupPr>
                  <m:ctrlPr>
                    <w:rPr>
                      <w:rFonts w:ascii="Cambria Math" w:hAnsi="Cambria Math"/>
                    </w:rPr>
                  </m:ctrlPr>
                </m:sSubSupPr>
                <m:e>
                  <m:r>
                    <w:rPr>
                      <w:rFonts w:ascii="Cambria Math" w:eastAsia="Cambria Math" w:hAnsi="Cambria Math" w:cs="Cambria Math"/>
                    </w:rPr>
                    <m:t>n</m:t>
                  </m:r>
                </m:e>
                <m:sub>
                  <m:r>
                    <w:rPr>
                      <w:rFonts w:ascii="Cambria Math" w:eastAsia="Cambria Math" w:hAnsi="Cambria Math" w:cs="Cambria Math"/>
                    </w:rPr>
                    <m:t>i</m:t>
                  </m:r>
                </m:sub>
                <m:sup>
                  <m:r>
                    <w:rPr>
                      <w:rFonts w:ascii="Cambria Math" w:eastAsia="Cambria Math" w:hAnsi="Cambria Math" w:cs="Cambria Math"/>
                    </w:rPr>
                    <m:t>2</m:t>
                  </m:r>
                </m:sup>
              </m:sSubSup>
            </m:num>
            <m:den>
              <m:limLow>
                <m:limLowPr>
                  <m:ctrlPr>
                    <w:rPr>
                      <w:rFonts w:ascii="Cambria Math" w:hAnsi="Cambria Math"/>
                    </w:rPr>
                  </m:ctrlPr>
                </m:limLowPr>
                <m:e>
                  <m:r>
                    <w:rPr>
                      <w:rFonts w:ascii="Cambria Math" w:eastAsia="Cambria Math" w:hAnsi="Cambria Math" w:cs="Cambria Math"/>
                    </w:rPr>
                    <m:t>∑</m:t>
                  </m:r>
                </m:e>
                <m:lim/>
              </m:limLow>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i</m:t>
                  </m:r>
                </m:sub>
              </m:sSub>
            </m:den>
          </m:f>
          <m:r>
            <w:rPr>
              <w:rFonts w:ascii="Cambria Math" w:eastAsia="Cambria Math" w:hAnsi="Cambria Math" w:cs="Cambria Math"/>
            </w:rPr>
            <m:t>)</m:t>
          </m:r>
        </m:oMath>
      </m:oMathPara>
    </w:p>
    <w:p w14:paraId="2578347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is approximately the average dialysis provider group practice size (number of patients per dialysis provider group practice). Note that </w:t>
      </w:r>
      <m:oMath>
        <m:sSubSup>
          <m:sSubSupPr>
            <m:ctrlPr>
              <w:rPr>
                <w:rFonts w:ascii="Cambria Math" w:hAnsi="Cambria Math"/>
              </w:rPr>
            </m:ctrlPr>
          </m:sSubSupPr>
          <m:e>
            <m:r>
              <w:rPr>
                <w:rFonts w:ascii="Cambria Math" w:eastAsia="Cambria Math" w:hAnsi="Cambria Math" w:cs="Cambria Math"/>
              </w:rPr>
              <m:t>s</m:t>
            </m:r>
          </m:e>
          <m:sub>
            <m:r>
              <w:rPr>
                <w:rFonts w:ascii="Cambria Math" w:eastAsia="Cambria Math" w:hAnsi="Cambria Math" w:cs="Cambria Math"/>
              </w:rPr>
              <m:t>t</m:t>
            </m:r>
          </m:sub>
          <m:sup>
            <m:r>
              <w:rPr>
                <w:rFonts w:ascii="Cambria Math" w:eastAsia="Cambria Math" w:hAnsi="Cambria Math" w:cs="Cambria Math"/>
              </w:rPr>
              <m:t>2</m:t>
            </m:r>
          </m:sup>
        </m:sSubSup>
      </m:oMath>
      <w:r>
        <w:rPr>
          <w:rFonts w:ascii="Calibri" w:eastAsia="Calibri" w:hAnsi="Calibri" w:cs="Calibri"/>
          <w:color w:val="000000"/>
          <w:sz w:val="22"/>
        </w:rPr>
        <w:t> is an estimate of </w:t>
      </w:r>
      <m:oMath>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b</m:t>
            </m:r>
          </m:sub>
          <m:sup>
            <m:r>
              <w:rPr>
                <w:rFonts w:ascii="Cambria Math" w:eastAsia="Cambria Math" w:hAnsi="Cambria Math" w:cs="Cambria Math"/>
              </w:rPr>
              <m:t>2</m:t>
            </m:r>
          </m:sup>
        </m:sSubSup>
        <m:r>
          <w:rPr>
            <w:rFonts w:ascii="Cambria Math" w:eastAsia="Cambria Math" w:hAnsi="Cambria Math" w:cs="Cambria Math"/>
          </w:rPr>
          <m:t>+</m:t>
        </m:r>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t,w</m:t>
            </m:r>
          </m:sub>
          <m:sup>
            <m:r>
              <w:rPr>
                <w:rFonts w:ascii="Cambria Math" w:eastAsia="Cambria Math" w:hAnsi="Cambria Math" w:cs="Cambria Math"/>
              </w:rPr>
              <m:t>2</m:t>
            </m:r>
          </m:sup>
        </m:sSubSup>
      </m:oMath>
      <w:r>
        <w:rPr>
          <w:rFonts w:ascii="Calibri" w:eastAsia="Calibri" w:hAnsi="Calibri" w:cs="Calibri"/>
          <w:color w:val="000000"/>
          <w:sz w:val="22"/>
        </w:rPr>
        <w:t> where </w:t>
      </w:r>
      <m:oMath>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b</m:t>
            </m:r>
          </m:sub>
          <m:sup>
            <m:r>
              <w:rPr>
                <w:rFonts w:ascii="Cambria Math" w:eastAsia="Cambria Math" w:hAnsi="Cambria Math" w:cs="Cambria Math"/>
              </w:rPr>
              <m:t>2</m:t>
            </m:r>
          </m:sup>
        </m:sSubSup>
      </m:oMath>
      <w:r>
        <w:rPr>
          <w:rFonts w:ascii="Calibri" w:eastAsia="Calibri" w:hAnsi="Calibri" w:cs="Calibri"/>
          <w:color w:val="000000"/>
          <w:sz w:val="22"/>
        </w:rPr>
        <w:t xml:space="preserve"> is the between-group </w:t>
      </w:r>
      <w:r>
        <w:rPr>
          <w:rFonts w:ascii="Calibri" w:eastAsia="Calibri" w:hAnsi="Calibri" w:cs="Calibri"/>
          <w:color w:val="000000"/>
          <w:sz w:val="22"/>
        </w:rPr>
        <w:lastRenderedPageBreak/>
        <w:t>variance, the true signal reflecting the differences across practitioner groups. Thus, the IUR, which is defined by IUR = </w:t>
      </w:r>
      <m:oMath>
        <m:f>
          <m:fPr>
            <m:type m:val="skw"/>
            <m:ctrlPr>
              <w:rPr>
                <w:rFonts w:ascii="Cambria Math" w:hAnsi="Cambria Math"/>
              </w:rPr>
            </m:ctrlPr>
          </m:fPr>
          <m:num>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b</m:t>
                </m:r>
              </m:sub>
              <m:sup>
                <m:r>
                  <w:rPr>
                    <w:rFonts w:ascii="Cambria Math" w:eastAsia="Cambria Math" w:hAnsi="Cambria Math" w:cs="Cambria Math"/>
                  </w:rPr>
                  <m:t>2</m:t>
                </m:r>
              </m:sup>
            </m:sSubSup>
          </m:num>
          <m:den>
            <m:r>
              <w:rPr>
                <w:rFonts w:ascii="Cambria Math" w:eastAsia="Cambria Math" w:hAnsi="Cambria Math" w:cs="Cambria Math"/>
              </w:rPr>
              <m:t>(</m:t>
            </m:r>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b</m:t>
                </m:r>
              </m:sub>
              <m:sup>
                <m:r>
                  <w:rPr>
                    <w:rFonts w:ascii="Cambria Math" w:eastAsia="Cambria Math" w:hAnsi="Cambria Math" w:cs="Cambria Math"/>
                  </w:rPr>
                  <m:t>2</m:t>
                </m:r>
              </m:sup>
            </m:sSubSup>
            <m:r>
              <w:rPr>
                <w:rFonts w:ascii="Cambria Math" w:eastAsia="Cambria Math" w:hAnsi="Cambria Math" w:cs="Cambria Math"/>
              </w:rPr>
              <m:t>+</m:t>
            </m:r>
            <m:sSubSup>
              <m:sSubSupPr>
                <m:ctrlPr>
                  <w:rPr>
                    <w:rFonts w:ascii="Cambria Math" w:hAnsi="Cambria Math"/>
                  </w:rPr>
                </m:ctrlPr>
              </m:sSubSupPr>
              <m:e>
                <m:r>
                  <w:rPr>
                    <w:rFonts w:ascii="Cambria Math" w:eastAsia="Cambria Math" w:hAnsi="Cambria Math" w:cs="Cambria Math"/>
                  </w:rPr>
                  <m:t>σ</m:t>
                </m:r>
              </m:e>
              <m:sub>
                <m:r>
                  <w:rPr>
                    <w:rFonts w:ascii="Cambria Math" w:eastAsia="Cambria Math" w:hAnsi="Cambria Math" w:cs="Cambria Math"/>
                  </w:rPr>
                  <m:t>t,w</m:t>
                </m:r>
              </m:sub>
              <m:sup>
                <m:r>
                  <w:rPr>
                    <w:rFonts w:ascii="Cambria Math" w:eastAsia="Cambria Math" w:hAnsi="Cambria Math" w:cs="Cambria Math"/>
                  </w:rPr>
                  <m:t>2</m:t>
                </m:r>
              </m:sup>
            </m:sSubSup>
            <m:r>
              <w:rPr>
                <w:rFonts w:ascii="Cambria Math" w:eastAsia="Cambria Math" w:hAnsi="Cambria Math" w:cs="Cambria Math"/>
              </w:rPr>
              <m:t>)</m:t>
            </m:r>
          </m:den>
        </m:f>
      </m:oMath>
      <w:r>
        <w:rPr>
          <w:rFonts w:ascii="Calibri" w:eastAsia="Calibri" w:hAnsi="Calibri" w:cs="Calibri"/>
          <w:color w:val="000000"/>
          <w:sz w:val="22"/>
        </w:rPr>
        <w:t> and can be estimated by </w:t>
      </w:r>
      <m:oMath>
        <m:f>
          <m:fPr>
            <m:type m:val="skw"/>
            <m:ctrlPr>
              <w:rPr>
                <w:rFonts w:ascii="Cambria Math" w:hAnsi="Cambria Math"/>
              </w:rPr>
            </m:ctrlPr>
          </m:fPr>
          <m:num>
            <m:r>
              <w:rPr>
                <w:rFonts w:ascii="Cambria Math" w:eastAsia="Cambria Math" w:hAnsi="Cambria Math" w:cs="Cambria Math"/>
              </w:rPr>
              <m:t>(</m:t>
            </m:r>
            <m:sSubSup>
              <m:sSubSupPr>
                <m:ctrlPr>
                  <w:rPr>
                    <w:rFonts w:ascii="Cambria Math" w:hAnsi="Cambria Math"/>
                  </w:rPr>
                </m:ctrlPr>
              </m:sSubSupPr>
              <m:e>
                <m:r>
                  <w:rPr>
                    <w:rFonts w:ascii="Cambria Math" w:eastAsia="Cambria Math" w:hAnsi="Cambria Math" w:cs="Cambria Math"/>
                  </w:rPr>
                  <m:t>s</m:t>
                </m:r>
              </m:e>
              <m:sub>
                <m:r>
                  <w:rPr>
                    <w:rFonts w:ascii="Cambria Math" w:eastAsia="Cambria Math" w:hAnsi="Cambria Math" w:cs="Cambria Math"/>
                  </w:rPr>
                  <m:t>t</m:t>
                </m:r>
              </m:sub>
              <m:sup>
                <m:r>
                  <w:rPr>
                    <w:rFonts w:ascii="Cambria Math" w:eastAsia="Cambria Math" w:hAnsi="Cambria Math" w:cs="Cambria Math"/>
                  </w:rPr>
                  <m:t>2</m:t>
                </m:r>
              </m:sup>
            </m:sSubSup>
            <m:r>
              <w:rPr>
                <w:rFonts w:ascii="Cambria Math" w:eastAsia="Cambria Math" w:hAnsi="Cambria Math" w:cs="Cambria Math"/>
              </w:rPr>
              <m:t>+</m:t>
            </m:r>
            <m:sSubSup>
              <m:sSubSupPr>
                <m:ctrlPr>
                  <w:rPr>
                    <w:rFonts w:ascii="Cambria Math" w:hAnsi="Cambria Math"/>
                  </w:rPr>
                </m:ctrlPr>
              </m:sSubSupPr>
              <m:e>
                <m:r>
                  <w:rPr>
                    <w:rFonts w:ascii="Cambria Math" w:eastAsia="Cambria Math" w:hAnsi="Cambria Math" w:cs="Cambria Math"/>
                  </w:rPr>
                  <m:t>s</m:t>
                </m:r>
              </m:e>
              <m:sub>
                <m:r>
                  <w:rPr>
                    <w:rFonts w:ascii="Cambria Math" w:eastAsia="Cambria Math" w:hAnsi="Cambria Math" w:cs="Cambria Math"/>
                  </w:rPr>
                  <m:t>t,w</m:t>
                </m:r>
              </m:sub>
              <m:sup>
                <m:r>
                  <w:rPr>
                    <w:rFonts w:ascii="Cambria Math" w:eastAsia="Cambria Math" w:hAnsi="Cambria Math" w:cs="Cambria Math"/>
                  </w:rPr>
                  <m:t>2</m:t>
                </m:r>
              </m:sup>
            </m:sSubSup>
            <m:r>
              <w:rPr>
                <w:rFonts w:ascii="Cambria Math" w:eastAsia="Cambria Math" w:hAnsi="Cambria Math" w:cs="Cambria Math"/>
              </w:rPr>
              <m:t>)</m:t>
            </m:r>
          </m:num>
          <m:den>
            <m:sSubSup>
              <m:sSubSupPr>
                <m:ctrlPr>
                  <w:rPr>
                    <w:rFonts w:ascii="Cambria Math" w:hAnsi="Cambria Math"/>
                  </w:rPr>
                </m:ctrlPr>
              </m:sSubSupPr>
              <m:e>
                <m:r>
                  <w:rPr>
                    <w:rFonts w:ascii="Cambria Math" w:eastAsia="Cambria Math" w:hAnsi="Cambria Math" w:cs="Cambria Math"/>
                  </w:rPr>
                  <m:t>s</m:t>
                </m:r>
              </m:e>
              <m:sub>
                <m:r>
                  <w:rPr>
                    <w:rFonts w:ascii="Cambria Math" w:eastAsia="Cambria Math" w:hAnsi="Cambria Math" w:cs="Cambria Math"/>
                  </w:rPr>
                  <m:t>t</m:t>
                </m:r>
              </m:sub>
              <m:sup>
                <m:r>
                  <w:rPr>
                    <w:rFonts w:ascii="Cambria Math" w:eastAsia="Cambria Math" w:hAnsi="Cambria Math" w:cs="Cambria Math"/>
                  </w:rPr>
                  <m:t>2</m:t>
                </m:r>
              </m:sup>
            </m:sSubSup>
          </m:den>
        </m:f>
      </m:oMath>
      <w:r>
        <w:rPr>
          <w:rFonts w:ascii="Calibri" w:eastAsia="Calibri" w:hAnsi="Calibri" w:cs="Calibri"/>
          <w:color w:val="000000"/>
          <w:sz w:val="22"/>
        </w:rPr>
        <w:t>.</w:t>
      </w:r>
    </w:p>
    <w:p w14:paraId="0F82A83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reliability of PSWR calculation only included dialysis provider group practices with at least 11 patients and at least 2 expected events during the entire year.</w:t>
      </w:r>
    </w:p>
    <w:p w14:paraId="227CACD6" w14:textId="77777777" w:rsidR="00A77B3E" w:rsidRDefault="00A77B3E">
      <w:pPr>
        <w:spacing w:after="240"/>
        <w:rPr>
          <w:rFonts w:ascii="Calibri" w:eastAsia="Calibri" w:hAnsi="Calibri" w:cs="Calibri"/>
          <w:color w:val="000000"/>
          <w:sz w:val="22"/>
        </w:rPr>
      </w:pPr>
    </w:p>
    <w:p w14:paraId="23FF5992" w14:textId="77777777" w:rsidR="00A77B3E" w:rsidRDefault="00A77B3E">
      <w:pPr>
        <w:spacing w:after="240"/>
        <w:rPr>
          <w:rFonts w:ascii="Calibri" w:eastAsia="Calibri" w:hAnsi="Calibri" w:cs="Calibri"/>
          <w:color w:val="000000"/>
          <w:sz w:val="22"/>
        </w:rPr>
      </w:pPr>
    </w:p>
    <w:p w14:paraId="161C08FD"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2a.11) For each level of reliability testing checked above, what were the statistical results from reliability testing?</w:t>
      </w:r>
    </w:p>
    <w:p w14:paraId="4C91884F"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For example, provide the percent agreement and kappa for the critical data elements, or distribution of reliability statistics from a signal-to-noise analysis. For score-level reliability testing, when using a signal-to-noise analysis, more than just one overall statistic should be reported (i.e., to demonstrate variation in reliability across providers). If a particular method yields only one statistic, this should be explained. In addition, reporting of results stratified by sample size is preferred (pg. 18, </w:t>
      </w:r>
      <w:hyperlink r:id="rId23" w:tgtFrame="_blank" w:history="1">
        <w:r>
          <w:rPr>
            <w:rFonts w:ascii="Calibri" w:eastAsia="Calibri" w:hAnsi="Calibri" w:cs="Calibri"/>
            <w:i/>
            <w:iCs/>
            <w:color w:val="0000FF"/>
            <w:sz w:val="22"/>
            <w:u w:val="single" w:color="0000FF"/>
          </w:rPr>
          <w:t>NQF Measure Evaluation Criteria</w:t>
        </w:r>
      </w:hyperlink>
      <w:r>
        <w:rPr>
          <w:rFonts w:ascii="Calibri" w:eastAsia="Calibri" w:hAnsi="Calibri" w:cs="Calibri"/>
          <w:i/>
          <w:iCs/>
          <w:color w:val="000000"/>
          <w:sz w:val="22"/>
        </w:rPr>
        <w:t>).</w:t>
      </w:r>
      <w:r>
        <w:rPr>
          <w:rFonts w:ascii="Calibri" w:eastAsia="Calibri" w:hAnsi="Calibri" w:cs="Calibri"/>
          <w:color w:val="000000"/>
          <w:sz w:val="22"/>
        </w:rPr>
        <w:t>The IUR is 0.56.</w:t>
      </w:r>
    </w:p>
    <w:p w14:paraId="06271399" w14:textId="77777777" w:rsidR="00A77B3E" w:rsidRDefault="00A77B3E">
      <w:pPr>
        <w:spacing w:after="240"/>
        <w:rPr>
          <w:rFonts w:ascii="Calibri" w:eastAsia="Calibri" w:hAnsi="Calibri" w:cs="Calibri"/>
          <w:color w:val="000000"/>
          <w:sz w:val="22"/>
        </w:rPr>
      </w:pPr>
    </w:p>
    <w:p w14:paraId="2427805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2a.12) Interpret the results, in terms of how they demonstrate reliability.</w:t>
      </w:r>
    </w:p>
    <w:p w14:paraId="1A736672"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(In other words, what do the results mean and what are the norms for the test conducted?)</w:t>
      </w:r>
      <w:r>
        <w:rPr>
          <w:rFonts w:ascii="Calibri" w:eastAsia="Calibri" w:hAnsi="Calibri" w:cs="Calibri"/>
          <w:color w:val="000000"/>
          <w:sz w:val="22"/>
        </w:rPr>
        <w:t>The value of IUR indicates that about 56% of the variation in the PSWR measure can be attributed to the between-dialysis practitioner group practice differences (signal) and about 44% of variation to within-dialysis practitioner group practice variation (noise). The value of IUR implies a moderate degree of reliability.</w:t>
      </w:r>
    </w:p>
    <w:p w14:paraId="582DD8E9" w14:textId="77777777" w:rsidR="00A77B3E" w:rsidRDefault="00A77B3E">
      <w:pPr>
        <w:spacing w:after="240"/>
        <w:rPr>
          <w:rFonts w:ascii="Calibri" w:eastAsia="Calibri" w:hAnsi="Calibri" w:cs="Calibri"/>
          <w:color w:val="000000"/>
          <w:sz w:val="22"/>
        </w:rPr>
      </w:pPr>
    </w:p>
    <w:p w14:paraId="71E75701"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Scientific Acceptability: Validity - Testing (2b.01 - 2b.04)</w:t>
      </w:r>
      <w:r>
        <w:pict w14:anchorId="7B6F8A95">
          <v:rect id="_x0000_i1033" style="width:468pt;height:1pt" o:hralign="center" o:hrstd="t" o:hrnoshade="t" o:hr="t" fillcolor="#326295" stroked="f">
            <v:path strokeok="f"/>
          </v:rect>
        </w:pict>
      </w:r>
    </w:p>
    <w:p w14:paraId="5301C4F0" w14:textId="77777777" w:rsidR="00A77B3E" w:rsidRDefault="00A77B3E">
      <w:pPr>
        <w:pStyle w:val="Heading1"/>
        <w:spacing w:before="0" w:after="240"/>
        <w:rPr>
          <w:rFonts w:ascii="Calibri" w:eastAsia="Calibri" w:hAnsi="Calibri" w:cs="Calibri"/>
          <w:b w:val="0"/>
          <w:color w:val="326295"/>
          <w:sz w:val="2"/>
        </w:rPr>
      </w:pPr>
    </w:p>
    <w:p w14:paraId="05ED038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2b.01) Select the level of validity testing that was conducted.</w:t>
      </w:r>
    </w:p>
    <w:p w14:paraId="70AD31C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12463E7" wp14:editId="6C194C70">
            <wp:extent cx="126984" cy="126984"/>
            <wp:effectExtent l="0" t="0" r="0" b="0"/>
            <wp:docPr id="100534" name="Picture 100534" descr="Patient or Encounter-Level (data element validity must address ALL critical data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Patient or Encounter-Level (data element validity must address ALL critical data elements)  </w:t>
      </w:r>
    </w:p>
    <w:p w14:paraId="3F5C648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1965562" wp14:editId="1F5656D0">
            <wp:extent cx="126984" cy="126984"/>
            <wp:effectExtent l="0" t="0" r="0" b="0"/>
            <wp:docPr id="100536" name="Picture 100536" descr="Accountable Entity Level (e.g. hospitals, clinici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Accountable Entity Level (e.g. hospitals, clinicians)  </w:t>
      </w:r>
    </w:p>
    <w:p w14:paraId="568A88C1"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E4D249B" wp14:editId="00822D3F">
            <wp:extent cx="126984" cy="126984"/>
            <wp:effectExtent l="0" t="0" r="0" b="0"/>
            <wp:docPr id="100538" name="Picture 100538" descr="Empirical validity te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9"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Empirical validity testing  </w:t>
      </w:r>
    </w:p>
    <w:p w14:paraId="1BAD46E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D0E82AF" wp14:editId="50B84146">
            <wp:extent cx="126984" cy="126984"/>
            <wp:effectExtent l="0" t="0" r="0" b="0"/>
            <wp:docPr id="100540" name="Picture 100540" descr="Systematic assessment of face validity of performance measure score as an indicator of quality or resource use (i.e., is an accurate reflection of performance on quality or resource use and can distinguish good from poor performa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Systematic assessment of face validity of performance measure score as an indicator of quality or resource use (i.e., is an accurate reflection of performance on quality or resource use and can distinguish good from poor performance)   </w:t>
      </w:r>
    </w:p>
    <w:p w14:paraId="6185F03F" w14:textId="77777777" w:rsidR="00A77B3E" w:rsidRDefault="00A77B3E">
      <w:pPr>
        <w:spacing w:after="240"/>
        <w:rPr>
          <w:rFonts w:ascii="Calibri" w:eastAsia="Calibri" w:hAnsi="Calibri" w:cs="Calibri"/>
          <w:color w:val="000000"/>
          <w:sz w:val="22"/>
        </w:rPr>
      </w:pPr>
    </w:p>
    <w:p w14:paraId="6A5E830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2b.02) For each level of testing checked above, describe the method of validity testing and what it tests.</w:t>
      </w:r>
    </w:p>
    <w:p w14:paraId="46D614E3"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Describe the steps―do not just name a method; what was tested, e.g., accuracy of data elements compared to authoritative source, relationship to another measure as expected; what statistical analysis was used.</w:t>
      </w:r>
    </w:p>
    <w:p w14:paraId="1DEC24C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Validity of the measure was tested by evaluating the association between the dialysis practitioner group level measure performance, and subsequent mortality and overall transplant rates among all patients attributed to the practitioner groups. We hypothesized that practitioner groups with higher performance on the PSWR measure would have subsequently higher transplant rates among their patients. This would be expected to follow from activities these practitioner groups conducted to improve the health and therefore suitability of their patients for transplant candidacy.  Along similar lines, we hypothesized that practitioner groups with higher performance on the PSWR measure would demonstrate lower subsequent mortality among their patients. However, we expected this to be a more modest association given the many other factors that can affect mortality within the dialysis population.</w:t>
      </w:r>
    </w:p>
    <w:p w14:paraId="074BB7B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To evaluate the associations, we first divided dialysis practitioner groups into 3 tertiles (T1 to T3) based on their performance on the PSWR (T1 to T3, from highest to lowest waitlisting). Tertiles were chosen in order to evaluate a gradient in effect, but still maintain sufficient numbers within each group for statistical precision. We then computed the corresponding mortality rate and transplant rate among patients assigned to each practitioner group. We then applied the Cochran-Armitage trend test to evaluate the relationship between the tertile grouping and these practitioner group-level outcomes. Finally, we examined the Spearman correlations between PSWR and the mortality rate or transplant rate.</w:t>
      </w:r>
    </w:p>
    <w:p w14:paraId="7ED4B881" w14:textId="77777777" w:rsidR="00A77B3E" w:rsidRDefault="00A77B3E">
      <w:pPr>
        <w:spacing w:after="240"/>
        <w:rPr>
          <w:rFonts w:ascii="Calibri" w:eastAsia="Calibri" w:hAnsi="Calibri" w:cs="Calibri"/>
          <w:color w:val="000000"/>
          <w:sz w:val="22"/>
        </w:rPr>
      </w:pPr>
    </w:p>
    <w:p w14:paraId="41B72DD1" w14:textId="77777777" w:rsidR="00A77B3E" w:rsidRDefault="00A77B3E">
      <w:pPr>
        <w:spacing w:after="240"/>
        <w:rPr>
          <w:rFonts w:ascii="Calibri" w:eastAsia="Calibri" w:hAnsi="Calibri" w:cs="Calibri"/>
          <w:color w:val="000000"/>
          <w:sz w:val="22"/>
        </w:rPr>
      </w:pPr>
    </w:p>
    <w:p w14:paraId="2B6575A2"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lastRenderedPageBreak/>
        <w:t>2b.03) Provide the statistical results from validity testing.</w:t>
      </w:r>
    </w:p>
    <w:p w14:paraId="6E5E7EFF"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t> Examples may include correlations or t-test results.</w:t>
      </w:r>
    </w:p>
    <w:p w14:paraId="3A3AF0D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tertile groups based on the performance scores were defined as:</w:t>
      </w:r>
    </w:p>
    <w:p w14:paraId="0236AA8C" w14:textId="77777777" w:rsidR="00A77B3E" w:rsidRDefault="00000000">
      <w:pPr>
        <w:spacing w:after="240"/>
        <w:rPr>
          <w:rFonts w:ascii="Calibri" w:eastAsia="Calibri" w:hAnsi="Calibri" w:cs="Calibri"/>
          <w:color w:val="000000"/>
          <w:sz w:val="22"/>
        </w:rPr>
      </w:pPr>
      <m:oMath>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1</m:t>
            </m:r>
          </m:sub>
        </m:sSub>
      </m:oMath>
      <w:r>
        <w:rPr>
          <w:rFonts w:ascii="Calibri" w:eastAsia="Calibri" w:hAnsi="Calibri" w:cs="Calibri"/>
          <w:color w:val="000000"/>
          <w:sz w:val="22"/>
        </w:rPr>
        <w:t> (best performance): 1.16 - 6.84</w:t>
      </w:r>
    </w:p>
    <w:p w14:paraId="06397E0D" w14:textId="77777777" w:rsidR="00A77B3E" w:rsidRDefault="00000000">
      <w:pPr>
        <w:spacing w:after="240"/>
        <w:rPr>
          <w:rFonts w:ascii="Calibri" w:eastAsia="Calibri" w:hAnsi="Calibri" w:cs="Calibri"/>
          <w:color w:val="000000"/>
          <w:sz w:val="22"/>
        </w:rPr>
      </w:pPr>
      <m:oMath>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2</m:t>
            </m:r>
          </m:sub>
        </m:sSub>
      </m:oMath>
      <w:r>
        <w:rPr>
          <w:rFonts w:ascii="Calibri" w:eastAsia="Calibri" w:hAnsi="Calibri" w:cs="Calibri"/>
          <w:color w:val="000000"/>
          <w:sz w:val="22"/>
        </w:rPr>
        <w:t> 0.77 - 1.16</w:t>
      </w:r>
    </w:p>
    <w:p w14:paraId="66A56D3F" w14:textId="77777777" w:rsidR="00A77B3E" w:rsidRDefault="00000000">
      <w:pPr>
        <w:spacing w:after="240"/>
        <w:rPr>
          <w:rFonts w:ascii="Calibri" w:eastAsia="Calibri" w:hAnsi="Calibri" w:cs="Calibri"/>
          <w:color w:val="000000"/>
          <w:sz w:val="22"/>
        </w:rPr>
      </w:pPr>
      <m:oMath>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3</m:t>
            </m:r>
          </m:sub>
        </m:sSub>
      </m:oMath>
      <w:r>
        <w:rPr>
          <w:rFonts w:ascii="Calibri" w:eastAsia="Calibri" w:hAnsi="Calibri" w:cs="Calibri"/>
          <w:color w:val="000000"/>
          <w:sz w:val="22"/>
        </w:rPr>
        <w:t> (worst performance): 0 - 0.77</w:t>
      </w:r>
    </w:p>
    <w:p w14:paraId="735D076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dialysis practitioner group average mortality is 17.7, 17.5, 18.1 deaths per 100 patient-years for </w:t>
      </w:r>
      <m:oMath>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1</m:t>
            </m:r>
          </m:sub>
        </m:sSub>
        <m:r>
          <w:rPr>
            <w:rFonts w:ascii="Cambria Math" w:eastAsia="Cambria Math" w:hAnsi="Cambria Math" w:cs="Cambria Math"/>
          </w:rPr>
          <m:t>, </m:t>
        </m:r>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2</m:t>
            </m:r>
          </m:sub>
        </m:sSub>
        <m:r>
          <w:rPr>
            <w:rFonts w:ascii="Cambria Math" w:eastAsia="Cambria Math" w:hAnsi="Cambria Math" w:cs="Cambria Math"/>
          </w:rPr>
          <m:t>, </m:t>
        </m:r>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3</m:t>
            </m:r>
          </m:sub>
        </m:sSub>
      </m:oMath>
      <w:r>
        <w:rPr>
          <w:rFonts w:ascii="Calibri" w:eastAsia="Calibri" w:hAnsi="Calibri" w:cs="Calibri"/>
          <w:color w:val="000000"/>
          <w:sz w:val="22"/>
        </w:rPr>
        <w:t> groups, respectively (trend test p=0.255). The Spearman correlation coefficient is: -0.02 (p=0.264).</w:t>
      </w:r>
    </w:p>
    <w:p w14:paraId="52F10EA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dialysis practitioner group average transplant rate is 4.7, 3.8, 2.6 transplants per 100 patient-years for the </w:t>
      </w:r>
      <m:oMath>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1</m:t>
            </m:r>
          </m:sub>
        </m:sSub>
        <m:r>
          <w:rPr>
            <w:rFonts w:ascii="Cambria Math" w:eastAsia="Cambria Math" w:hAnsi="Cambria Math" w:cs="Cambria Math"/>
          </w:rPr>
          <m:t>, </m:t>
        </m:r>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2</m:t>
            </m:r>
          </m:sub>
        </m:sSub>
        <m:r>
          <w:rPr>
            <w:rFonts w:ascii="Cambria Math" w:eastAsia="Cambria Math" w:hAnsi="Cambria Math" w:cs="Cambria Math"/>
          </w:rPr>
          <m:t>, </m:t>
        </m:r>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3</m:t>
            </m:r>
          </m:sub>
        </m:sSub>
      </m:oMath>
      <w:r>
        <w:rPr>
          <w:rFonts w:ascii="Calibri" w:eastAsia="Calibri" w:hAnsi="Calibri" w:cs="Calibri"/>
          <w:color w:val="000000"/>
          <w:sz w:val="22"/>
        </w:rPr>
        <w:t> groups, respectively (trend test p&lt;.001). The Spearman correlation coefficient is: 0.41 (p&lt;.001).</w:t>
      </w:r>
    </w:p>
    <w:p w14:paraId="04CCAED6" w14:textId="77777777" w:rsidR="00A77B3E" w:rsidRDefault="00A77B3E">
      <w:pPr>
        <w:spacing w:after="240"/>
        <w:rPr>
          <w:rFonts w:ascii="Calibri" w:eastAsia="Calibri" w:hAnsi="Calibri" w:cs="Calibri"/>
          <w:color w:val="000000"/>
          <w:sz w:val="22"/>
        </w:rPr>
      </w:pPr>
    </w:p>
    <w:p w14:paraId="3B5BECC2" w14:textId="77777777" w:rsidR="00A77B3E" w:rsidRDefault="00A77B3E">
      <w:pPr>
        <w:spacing w:after="240"/>
        <w:rPr>
          <w:rFonts w:ascii="Calibri" w:eastAsia="Calibri" w:hAnsi="Calibri" w:cs="Calibri"/>
          <w:color w:val="000000"/>
          <w:sz w:val="22"/>
        </w:rPr>
      </w:pPr>
    </w:p>
    <w:p w14:paraId="50969DF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2b.04) Provide your interpretation of the results in terms of demonstrating validity. (i.e., what do the results mean and what are the norms for the test conducted?) </w:t>
      </w:r>
    </w:p>
    <w:p w14:paraId="3D374EF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 expected, better PSWR performance correlated with higher transplant rate, with clear separation of transplant rates across practitioner group tertiles of performance. The direction of the relationship with mortality was as expected (modest negative correlation with better PSWR performance), with the numerically highest mortality in the lowest performance tertile of the PSWR measure, though results did not achieve statistical significance.</w:t>
      </w:r>
    </w:p>
    <w:p w14:paraId="0DDC6C90" w14:textId="77777777" w:rsidR="00A77B3E" w:rsidRDefault="00A77B3E">
      <w:pPr>
        <w:spacing w:after="240"/>
        <w:rPr>
          <w:rFonts w:ascii="Calibri" w:eastAsia="Calibri" w:hAnsi="Calibri" w:cs="Calibri"/>
          <w:color w:val="000000"/>
          <w:sz w:val="22"/>
        </w:rPr>
      </w:pPr>
    </w:p>
    <w:p w14:paraId="5C3D9133"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Scientific Acceptability: Validity – Threats to Validity (Statistically Significant Differences, Multiple Data Sources, Missing Data) (2b.05 - 2b.14)</w:t>
      </w:r>
      <w:r>
        <w:pict w14:anchorId="47AD0DA2">
          <v:rect id="_x0000_i1034" style="width:468pt;height:1pt" o:hralign="center" o:hrstd="t" o:hrnoshade="t" o:hr="t" fillcolor="#326295" stroked="f">
            <v:path strokeok="f"/>
          </v:rect>
        </w:pict>
      </w:r>
    </w:p>
    <w:p w14:paraId="40F836E8" w14:textId="77777777" w:rsidR="00A77B3E" w:rsidRDefault="00A77B3E">
      <w:pPr>
        <w:pStyle w:val="Heading1"/>
        <w:spacing w:before="0" w:after="240"/>
        <w:rPr>
          <w:rFonts w:ascii="Calibri" w:eastAsia="Calibri" w:hAnsi="Calibri" w:cs="Calibri"/>
          <w:b w:val="0"/>
          <w:color w:val="326295"/>
          <w:sz w:val="2"/>
        </w:rPr>
      </w:pPr>
    </w:p>
    <w:p w14:paraId="0D5F32E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2b.05) Describe the method for determining if statistically significant and clinically/practically meaningful differences in performance measure scores among the measured entities can be identified.</w:t>
      </w:r>
    </w:p>
    <w:p w14:paraId="1830B2D8"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Describe the steps―do not just name a method; what statistical analysis was used? Do not just repeat the information provided in Importance to Measure and Report: Gap in Care/Disparities.</w:t>
      </w:r>
    </w:p>
    <w:p w14:paraId="1F49C3A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Dialysis practitioner groups were classified as ‘As Expected,’ ‘Better than Expected’, or ‘Worse than Expected’ based on whether observed and expected values are statistically different at the 5% level. Average values of PSWR between these groups are listed to determine if there are practically meaningful differences in performance scores. Specifically, the p-value is computed using a Poisson approximation under which the distribution of the observed number, O, in the dialysis practitioner group is Poisson with a mean value equal to the expected number, E, computed from the Cox model. Accordingly, if the observed number, O, is greater than E, then the mid p-value = </w:t>
      </w:r>
      <w:proofErr w:type="spellStart"/>
      <w:r>
        <w:rPr>
          <w:rFonts w:ascii="Calibri" w:eastAsia="Calibri" w:hAnsi="Calibri" w:cs="Calibri"/>
          <w:color w:val="000000"/>
          <w:sz w:val="22"/>
        </w:rPr>
        <w:t>Pr</w:t>
      </w:r>
      <w:proofErr w:type="spellEnd"/>
      <w:r>
        <w:rPr>
          <w:rFonts w:ascii="Calibri" w:eastAsia="Calibri" w:hAnsi="Calibri" w:cs="Calibri"/>
          <w:color w:val="000000"/>
          <w:sz w:val="22"/>
        </w:rPr>
        <w:t xml:space="preserve">(X&gt;=O) + </w:t>
      </w:r>
      <w:proofErr w:type="spellStart"/>
      <w:r>
        <w:rPr>
          <w:rFonts w:ascii="Calibri" w:eastAsia="Calibri" w:hAnsi="Calibri" w:cs="Calibri"/>
          <w:color w:val="000000"/>
          <w:sz w:val="22"/>
        </w:rPr>
        <w:t>Pr</w:t>
      </w:r>
      <w:proofErr w:type="spellEnd"/>
      <w:r>
        <w:rPr>
          <w:rFonts w:ascii="Calibri" w:eastAsia="Calibri" w:hAnsi="Calibri" w:cs="Calibri"/>
          <w:color w:val="000000"/>
          <w:sz w:val="22"/>
        </w:rPr>
        <w:t xml:space="preserve">(X&gt;O) where X has a Poisson distribution with mean E. Similarly, if O&lt;E, the mid p-value = </w:t>
      </w:r>
      <w:proofErr w:type="spellStart"/>
      <w:r>
        <w:rPr>
          <w:rFonts w:ascii="Calibri" w:eastAsia="Calibri" w:hAnsi="Calibri" w:cs="Calibri"/>
          <w:color w:val="000000"/>
          <w:sz w:val="22"/>
        </w:rPr>
        <w:t>Pr</w:t>
      </w:r>
      <w:proofErr w:type="spellEnd"/>
      <w:r>
        <w:rPr>
          <w:rFonts w:ascii="Calibri" w:eastAsia="Calibri" w:hAnsi="Calibri" w:cs="Calibri"/>
          <w:color w:val="000000"/>
          <w:sz w:val="22"/>
        </w:rPr>
        <w:t xml:space="preserve">(X &lt;=O) + </w:t>
      </w:r>
      <w:proofErr w:type="spellStart"/>
      <w:r>
        <w:rPr>
          <w:rFonts w:ascii="Calibri" w:eastAsia="Calibri" w:hAnsi="Calibri" w:cs="Calibri"/>
          <w:color w:val="000000"/>
          <w:sz w:val="22"/>
        </w:rPr>
        <w:t>Pr</w:t>
      </w:r>
      <w:proofErr w:type="spellEnd"/>
      <w:r>
        <w:rPr>
          <w:rFonts w:ascii="Calibri" w:eastAsia="Calibri" w:hAnsi="Calibri" w:cs="Calibri"/>
          <w:color w:val="000000"/>
          <w:sz w:val="22"/>
        </w:rPr>
        <w:t>(X&lt;O) where X has a Poisson distribution with mean E. To address the problem of simultaneously monitoring a large number of dialysis practitioner groups and to take account of the intrinsic unexplained variation among practitioner groups, we used the empirical null approach described in Kalbfleisch and Wolfe (see full citation below). Specifically, to implement this method, the p-value for each dialysis practitioner group is converted to a Z-score, stratified into four groups based on patient-years within each practitioner group. Within each group, using robust estimates of location and scale based on the normal curve fitted to the center of the z-scores, we derive the mean and variance of a normal empirical null distribution. This empirical null distribution is then used to calculate the p-value for each dialysis practitioner. Finally, dialysis practitioner group practices are flagged if they have outcomes that are extreme when compared to the variation in the national waitlist rate. This method aims to separate underlying intrinsic variation in dialysis practitioner group outcomes from variation that might be attributed to poor (or excellent) care.</w:t>
      </w:r>
    </w:p>
    <w:p w14:paraId="6BE4174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Reference:</w:t>
      </w:r>
    </w:p>
    <w:p w14:paraId="285D629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Kalbfleisch, J. and Wolfe, R. (2013). On monitoring outcomes of medical providers. Statis- tics in Biosciences, 5(2):286–302.</w:t>
      </w:r>
    </w:p>
    <w:p w14:paraId="219D3C37" w14:textId="77777777" w:rsidR="00A77B3E" w:rsidRDefault="00A77B3E">
      <w:pPr>
        <w:spacing w:after="240"/>
        <w:rPr>
          <w:rFonts w:ascii="Calibri" w:eastAsia="Calibri" w:hAnsi="Calibri" w:cs="Calibri"/>
          <w:color w:val="000000"/>
          <w:sz w:val="22"/>
        </w:rPr>
      </w:pPr>
    </w:p>
    <w:p w14:paraId="281BC447" w14:textId="77777777" w:rsidR="00A77B3E" w:rsidRDefault="00A77B3E">
      <w:pPr>
        <w:spacing w:after="240"/>
        <w:rPr>
          <w:rFonts w:ascii="Calibri" w:eastAsia="Calibri" w:hAnsi="Calibri" w:cs="Calibri"/>
          <w:color w:val="000000"/>
          <w:sz w:val="22"/>
        </w:rPr>
      </w:pPr>
    </w:p>
    <w:p w14:paraId="4C45976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2b.06) Describe the statistical results from testing the ability to identify statistically significant and/or clinically/practically meaningful differences in performance measure scores across measured entities.</w:t>
      </w:r>
    </w:p>
    <w:p w14:paraId="24CE52CA"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lastRenderedPageBreak/>
        <w:t>Examples may include number and percentage of entities with scores that were statistically significantly different from mean or some benchmark, different from expected; how was meaningful difference defined.</w:t>
      </w:r>
    </w:p>
    <w:p w14:paraId="1A4AD957"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3:</w:t>
      </w:r>
      <w:r>
        <w:rPr>
          <w:rFonts w:ascii="Calibri" w:eastAsia="Calibri" w:hAnsi="Calibri" w:cs="Calibri"/>
          <w:color w:val="000000"/>
          <w:sz w:val="22"/>
        </w:rPr>
        <w:t xml:space="preserve"> Count (%) of dialysis practitioner group practices and median PSWR, stratified by classification category. </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3: Count (%) of dialysis practitioner group practices and median PSWR, stratified by classification category."/>
        <w:tblDescription w:val="Table 3: Count (%) of dialysis practitioner group practices and median PSWR, stratified by classification category."/>
      </w:tblPr>
      <w:tblGrid>
        <w:gridCol w:w="2576"/>
        <w:gridCol w:w="1726"/>
        <w:gridCol w:w="1726"/>
        <w:gridCol w:w="1726"/>
      </w:tblGrid>
      <w:tr w:rsidR="00233F1E" w14:paraId="410A529C" w14:textId="77777777">
        <w:trPr>
          <w:cantSplit/>
          <w:trHeight w:val="315"/>
          <w:tblHeader/>
        </w:trPr>
        <w:tc>
          <w:tcPr>
            <w:tcW w:w="2576" w:type="dxa"/>
          </w:tcPr>
          <w:p w14:paraId="44809CC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Classification Category</w:t>
            </w:r>
          </w:p>
        </w:tc>
        <w:tc>
          <w:tcPr>
            <w:tcW w:w="1726" w:type="dxa"/>
          </w:tcPr>
          <w:p w14:paraId="150C0ECF"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Count</w:t>
            </w:r>
          </w:p>
        </w:tc>
        <w:tc>
          <w:tcPr>
            <w:tcW w:w="1726" w:type="dxa"/>
          </w:tcPr>
          <w:p w14:paraId="0AA0E6BB"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Percent</w:t>
            </w:r>
          </w:p>
        </w:tc>
        <w:tc>
          <w:tcPr>
            <w:tcW w:w="1726" w:type="dxa"/>
          </w:tcPr>
          <w:p w14:paraId="59C04B01"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Median PSWR</w:t>
            </w:r>
          </w:p>
        </w:tc>
      </w:tr>
      <w:tr w:rsidR="00233F1E" w14:paraId="03105911" w14:textId="77777777">
        <w:trPr>
          <w:cantSplit/>
          <w:trHeight w:val="315"/>
        </w:trPr>
        <w:tc>
          <w:tcPr>
            <w:tcW w:w="2576" w:type="dxa"/>
          </w:tcPr>
          <w:p w14:paraId="440FFE1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Better Than Expected</w:t>
            </w:r>
          </w:p>
        </w:tc>
        <w:tc>
          <w:tcPr>
            <w:tcW w:w="1726" w:type="dxa"/>
          </w:tcPr>
          <w:p w14:paraId="3492B26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80</w:t>
            </w:r>
          </w:p>
        </w:tc>
        <w:tc>
          <w:tcPr>
            <w:tcW w:w="1726" w:type="dxa"/>
          </w:tcPr>
          <w:p w14:paraId="7AD23C2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4%</w:t>
            </w:r>
          </w:p>
        </w:tc>
        <w:tc>
          <w:tcPr>
            <w:tcW w:w="1726" w:type="dxa"/>
          </w:tcPr>
          <w:p w14:paraId="6E59B8B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2.19</w:t>
            </w:r>
          </w:p>
        </w:tc>
      </w:tr>
      <w:tr w:rsidR="00233F1E" w14:paraId="7586F95E" w14:textId="77777777">
        <w:trPr>
          <w:cantSplit/>
          <w:trHeight w:val="315"/>
        </w:trPr>
        <w:tc>
          <w:tcPr>
            <w:tcW w:w="2576" w:type="dxa"/>
          </w:tcPr>
          <w:p w14:paraId="25359C2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 Expected</w:t>
            </w:r>
          </w:p>
        </w:tc>
        <w:tc>
          <w:tcPr>
            <w:tcW w:w="1726" w:type="dxa"/>
          </w:tcPr>
          <w:p w14:paraId="14B40F6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1902</w:t>
            </w:r>
          </w:p>
        </w:tc>
        <w:tc>
          <w:tcPr>
            <w:tcW w:w="1726" w:type="dxa"/>
          </w:tcPr>
          <w:p w14:paraId="5AC0031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94%</w:t>
            </w:r>
          </w:p>
        </w:tc>
        <w:tc>
          <w:tcPr>
            <w:tcW w:w="1726" w:type="dxa"/>
          </w:tcPr>
          <w:p w14:paraId="1342677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0.93</w:t>
            </w:r>
          </w:p>
        </w:tc>
      </w:tr>
      <w:tr w:rsidR="00233F1E" w14:paraId="41ECA15B" w14:textId="77777777">
        <w:trPr>
          <w:cantSplit/>
          <w:trHeight w:val="315"/>
        </w:trPr>
        <w:tc>
          <w:tcPr>
            <w:tcW w:w="2576" w:type="dxa"/>
          </w:tcPr>
          <w:p w14:paraId="5619888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Worse Than Expected</w:t>
            </w:r>
          </w:p>
        </w:tc>
        <w:tc>
          <w:tcPr>
            <w:tcW w:w="1726" w:type="dxa"/>
          </w:tcPr>
          <w:p w14:paraId="2C96925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40</w:t>
            </w:r>
          </w:p>
        </w:tc>
        <w:tc>
          <w:tcPr>
            <w:tcW w:w="1726" w:type="dxa"/>
          </w:tcPr>
          <w:p w14:paraId="2779909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w:t>
            </w:r>
          </w:p>
        </w:tc>
        <w:tc>
          <w:tcPr>
            <w:tcW w:w="1726" w:type="dxa"/>
          </w:tcPr>
          <w:p w14:paraId="7DABC68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0.18</w:t>
            </w:r>
          </w:p>
        </w:tc>
      </w:tr>
      <w:tr w:rsidR="00233F1E" w14:paraId="40B3E9F6" w14:textId="77777777">
        <w:trPr>
          <w:cantSplit/>
          <w:trHeight w:val="315"/>
        </w:trPr>
        <w:tc>
          <w:tcPr>
            <w:tcW w:w="2576" w:type="dxa"/>
          </w:tcPr>
          <w:p w14:paraId="2DF6F86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Total</w:t>
            </w:r>
          </w:p>
        </w:tc>
        <w:tc>
          <w:tcPr>
            <w:tcW w:w="1726" w:type="dxa"/>
          </w:tcPr>
          <w:p w14:paraId="76A440C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2,022</w:t>
            </w:r>
          </w:p>
        </w:tc>
        <w:tc>
          <w:tcPr>
            <w:tcW w:w="1726" w:type="dxa"/>
          </w:tcPr>
          <w:p w14:paraId="16574AA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100%</w:t>
            </w:r>
          </w:p>
        </w:tc>
        <w:tc>
          <w:tcPr>
            <w:tcW w:w="1726" w:type="dxa"/>
          </w:tcPr>
          <w:p w14:paraId="2DD7891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0.94</w:t>
            </w:r>
          </w:p>
        </w:tc>
      </w:tr>
    </w:tbl>
    <w:p w14:paraId="512366B2"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3:</w:t>
      </w:r>
      <w:r>
        <w:rPr>
          <w:rFonts w:ascii="Calibri" w:eastAsia="Calibri" w:hAnsi="Calibri" w:cs="Calibri"/>
          <w:color w:val="000000"/>
          <w:sz w:val="22"/>
        </w:rPr>
        <w:t xml:space="preserve"> Count (%) of dialysis practitioner group practices and median PSWR, stratified by classification category.</w:t>
      </w:r>
    </w:p>
    <w:p w14:paraId="56279CD2" w14:textId="77777777" w:rsidR="00A77B3E" w:rsidRDefault="00A77B3E">
      <w:pPr>
        <w:spacing w:after="240"/>
        <w:rPr>
          <w:rFonts w:ascii="Calibri" w:eastAsia="Calibri" w:hAnsi="Calibri" w:cs="Calibri"/>
          <w:color w:val="000000"/>
          <w:sz w:val="22"/>
        </w:rPr>
      </w:pPr>
    </w:p>
    <w:p w14:paraId="48B7FC2E" w14:textId="77777777" w:rsidR="00A77B3E" w:rsidRDefault="00A77B3E">
      <w:pPr>
        <w:spacing w:after="240"/>
        <w:rPr>
          <w:rFonts w:ascii="Calibri" w:eastAsia="Calibri" w:hAnsi="Calibri" w:cs="Calibri"/>
          <w:color w:val="000000"/>
          <w:sz w:val="22"/>
        </w:rPr>
      </w:pPr>
    </w:p>
    <w:p w14:paraId="55524D0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2b.07) Provide your interpretation of the results in terms of demonstrating the ability to identify statistically significant and/or clinically/practically meaningful differences in performance across measured entities.</w:t>
      </w:r>
    </w:p>
    <w:p w14:paraId="5161B0A0"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In other words, what do the results mean in terms of statistical and meaningful </w:t>
      </w:r>
      <w:proofErr w:type="spellStart"/>
      <w:r>
        <w:rPr>
          <w:rFonts w:ascii="Calibri" w:eastAsia="Calibri" w:hAnsi="Calibri" w:cs="Calibri"/>
          <w:i/>
          <w:iCs/>
          <w:color w:val="000000"/>
          <w:sz w:val="22"/>
        </w:rPr>
        <w:t>differences?</w:t>
      </w:r>
      <w:r>
        <w:rPr>
          <w:rFonts w:ascii="Calibri" w:eastAsia="Calibri" w:hAnsi="Calibri" w:cs="Calibri"/>
          <w:color w:val="000000"/>
          <w:sz w:val="22"/>
        </w:rPr>
        <w:t>Four</w:t>
      </w:r>
      <w:proofErr w:type="spellEnd"/>
      <w:r>
        <w:rPr>
          <w:rFonts w:ascii="Calibri" w:eastAsia="Calibri" w:hAnsi="Calibri" w:cs="Calibri"/>
          <w:color w:val="000000"/>
          <w:sz w:val="22"/>
        </w:rPr>
        <w:t xml:space="preserve"> percent of dialysis practitioner group practices were classified as better than expected and 2% as worse than expected.  Better than expected physician group on average have observed waitlist/living donor transplant rates more than double that of expected waitlist/transplant rates while worse than expected dialysis practitioner group practices had observed rates less than 1/5 what was expected. These differences are therefore both practically meaningful and statistically significant.</w:t>
      </w:r>
    </w:p>
    <w:p w14:paraId="2BC1D4F9" w14:textId="77777777" w:rsidR="00A77B3E" w:rsidRDefault="00A77B3E">
      <w:pPr>
        <w:spacing w:after="240"/>
        <w:rPr>
          <w:rFonts w:ascii="Calibri" w:eastAsia="Calibri" w:hAnsi="Calibri" w:cs="Calibri"/>
          <w:color w:val="000000"/>
          <w:sz w:val="22"/>
        </w:rPr>
      </w:pPr>
    </w:p>
    <w:p w14:paraId="46142F0C"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2b.08) Describe the method of testing conducted to identify the extent and distribution of missing data (or non-response) and demonstrate that performance results are not biased due to systematic missing data (or differences between responders and non-responders). Include how the specified handling of missing data minimizes bias.</w:t>
      </w:r>
    </w:p>
    <w:p w14:paraId="0F5DA9FE"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Describe the steps―do not just name a method; what statistical analysis was used.</w:t>
      </w:r>
    </w:p>
    <w:p w14:paraId="174F257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Many data elements can be obtained from multiple sources and missing data occurs rarely for covariates included in this measure.</w:t>
      </w:r>
    </w:p>
    <w:p w14:paraId="525CA51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Age is calculated using the date of birth and beginning of the treatment period. Date of birth is required in our Standard Analysis Data Files, therefore no missing values were identified in the patient </w:t>
      </w:r>
      <w:r>
        <w:rPr>
          <w:rFonts w:ascii="Calibri" w:eastAsia="Calibri" w:hAnsi="Calibri" w:cs="Calibri"/>
          <w:color w:val="000000"/>
          <w:sz w:val="22"/>
        </w:rPr>
        <w:lastRenderedPageBreak/>
        <w:t>population. We assessed missing data for the CMS-2728 form which is used to determine incident comorbidities.</w:t>
      </w:r>
    </w:p>
    <w:p w14:paraId="4737186F" w14:textId="77777777" w:rsidR="00A77B3E" w:rsidRDefault="00A77B3E">
      <w:pPr>
        <w:spacing w:after="240"/>
        <w:rPr>
          <w:rFonts w:ascii="Calibri" w:eastAsia="Calibri" w:hAnsi="Calibri" w:cs="Calibri"/>
          <w:color w:val="000000"/>
          <w:sz w:val="22"/>
        </w:rPr>
      </w:pPr>
    </w:p>
    <w:p w14:paraId="27B13E6E" w14:textId="77777777" w:rsidR="00A77B3E" w:rsidRDefault="00A77B3E">
      <w:pPr>
        <w:spacing w:after="240"/>
        <w:rPr>
          <w:rFonts w:ascii="Calibri" w:eastAsia="Calibri" w:hAnsi="Calibri" w:cs="Calibri"/>
          <w:color w:val="000000"/>
          <w:sz w:val="22"/>
        </w:rPr>
      </w:pPr>
    </w:p>
    <w:p w14:paraId="55B4CF3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2b.09) Provide the overall frequency of missing data, the distribution of missing data across providers, and the results from testing related to missing data.</w:t>
      </w:r>
    </w:p>
    <w:p w14:paraId="147E2EE0"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For example, provide results of sensitivity analysis of the effect of various rules for missing data/non-response. If no empirical sensitivity analysis was conducted, identify the approaches for handling missing data that were considered and benefits and drawbacks of each).</w:t>
      </w:r>
    </w:p>
    <w:p w14:paraId="47D8FC3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4: </w:t>
      </w:r>
      <w:r>
        <w:rPr>
          <w:rFonts w:ascii="Calibri" w:eastAsia="Calibri" w:hAnsi="Calibri" w:cs="Calibri"/>
          <w:color w:val="000000"/>
          <w:sz w:val="22"/>
        </w:rPr>
        <w:t>Distribution of missing data among 362,093 patients</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4:&amp;nbsp;Distribution of missing data among 362,093 patients"/>
        <w:tblDescription w:val="Table 4:&amp;nbsp;Distribution of missing data among 362,093 patients"/>
      </w:tblPr>
      <w:tblGrid>
        <w:gridCol w:w="3476"/>
        <w:gridCol w:w="2106"/>
      </w:tblGrid>
      <w:tr w:rsidR="00233F1E" w14:paraId="76701581" w14:textId="77777777">
        <w:trPr>
          <w:cantSplit/>
          <w:trHeight w:val="315"/>
          <w:tblHeader/>
        </w:trPr>
        <w:tc>
          <w:tcPr>
            <w:tcW w:w="3476" w:type="dxa"/>
          </w:tcPr>
          <w:p w14:paraId="6A500C89"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Data element</w:t>
            </w:r>
          </w:p>
        </w:tc>
        <w:tc>
          <w:tcPr>
            <w:tcW w:w="2106" w:type="dxa"/>
          </w:tcPr>
          <w:p w14:paraId="1BFDE613"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Missing (%)</w:t>
            </w:r>
          </w:p>
        </w:tc>
      </w:tr>
      <w:tr w:rsidR="00233F1E" w14:paraId="2E8F0A30" w14:textId="77777777">
        <w:trPr>
          <w:cantSplit/>
          <w:trHeight w:val="315"/>
        </w:trPr>
        <w:tc>
          <w:tcPr>
            <w:tcW w:w="3476" w:type="dxa"/>
          </w:tcPr>
          <w:p w14:paraId="44F5F55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Patients with missing CMS-2728</w:t>
            </w:r>
          </w:p>
        </w:tc>
        <w:tc>
          <w:tcPr>
            <w:tcW w:w="2106" w:type="dxa"/>
          </w:tcPr>
          <w:p w14:paraId="2AD0FD3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1,862 (0.51)</w:t>
            </w:r>
          </w:p>
        </w:tc>
      </w:tr>
    </w:tbl>
    <w:p w14:paraId="408699CC"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4: </w:t>
      </w:r>
      <w:r>
        <w:rPr>
          <w:rFonts w:ascii="Calibri" w:eastAsia="Calibri" w:hAnsi="Calibri" w:cs="Calibri"/>
          <w:color w:val="000000"/>
          <w:sz w:val="22"/>
        </w:rPr>
        <w:t>Distribution of missing data among 362,093 patients</w:t>
      </w:r>
    </w:p>
    <w:p w14:paraId="06C6F018" w14:textId="77777777" w:rsidR="00A77B3E" w:rsidRDefault="00A77B3E">
      <w:pPr>
        <w:spacing w:after="240"/>
        <w:rPr>
          <w:rFonts w:ascii="Calibri" w:eastAsia="Calibri" w:hAnsi="Calibri" w:cs="Calibri"/>
          <w:color w:val="000000"/>
          <w:sz w:val="22"/>
        </w:rPr>
      </w:pPr>
    </w:p>
    <w:p w14:paraId="18F5790D" w14:textId="77777777" w:rsidR="00A77B3E" w:rsidRDefault="00A77B3E">
      <w:pPr>
        <w:spacing w:after="240"/>
        <w:rPr>
          <w:rFonts w:ascii="Calibri" w:eastAsia="Calibri" w:hAnsi="Calibri" w:cs="Calibri"/>
          <w:color w:val="000000"/>
          <w:sz w:val="22"/>
        </w:rPr>
      </w:pPr>
    </w:p>
    <w:p w14:paraId="1C31A14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2b.10) Provide your interpretation of the results, in terms of demonstrating that performance results are not biased due to systematic missing data (or differences between responders and non-responders), and how the specified handling of missing data minimizes bias.</w:t>
      </w:r>
    </w:p>
    <w:p w14:paraId="37049ABA"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In other words, what do the results mean in terms of supporting the selected approach for missing data and what are the norms for the test conducted; if no empirical analysis was conducted, justify the selected approach for missing data.</w:t>
      </w:r>
    </w:p>
    <w:p w14:paraId="46B0900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There is a low percentage of patients with missing CMS-2728 Forms. Missing CMS-2728 was accounted for with a category for missingness in the model.  As shown in Table 10 in section 2b.24, patients with missing CMS-2728 form have a lower hazard of waitlisting compared to those without a missing CMS-2728 form (HR = 0.727 ; 95% CI = 0.613, 0.861).</w:t>
      </w:r>
    </w:p>
    <w:p w14:paraId="7E937C0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Note: This item is directed to measures that are risk-adjusted (with or without social risk factors) OR to measures with more than one set of specifications/instructions (e.g., one set of specifications for how to identify and compute the measure from medical record abstraction and a different set of specifications for claims or eCQMs). It does not apply to measures that use more than one source of data in one set of specifications/instructions (e.g., claims data to identify the denominator and medical record abstraction for the numerator). 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 </w:t>
      </w:r>
    </w:p>
    <w:p w14:paraId="7B09AD38" w14:textId="77777777" w:rsidR="00A77B3E" w:rsidRDefault="00A77B3E">
      <w:pPr>
        <w:spacing w:after="240"/>
        <w:rPr>
          <w:rFonts w:ascii="Calibri" w:eastAsia="Calibri" w:hAnsi="Calibri" w:cs="Calibri"/>
          <w:color w:val="000000"/>
          <w:sz w:val="22"/>
        </w:rPr>
      </w:pPr>
    </w:p>
    <w:p w14:paraId="3D4742A4" w14:textId="77777777" w:rsidR="00A77B3E" w:rsidRDefault="00A77B3E">
      <w:pPr>
        <w:spacing w:after="240"/>
        <w:rPr>
          <w:rFonts w:ascii="Calibri" w:eastAsia="Calibri" w:hAnsi="Calibri" w:cs="Calibri"/>
          <w:color w:val="000000"/>
          <w:sz w:val="22"/>
        </w:rPr>
      </w:pPr>
    </w:p>
    <w:p w14:paraId="71D46CC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Note: This item is directed to measures that are risk-adjusted (with or without social risk factors) OR to measures with more than one set of specifications/instructions (e.g., one set of specifications for how to identify and compute the measure from medical record abstraction and a different set of specifications for claims or eCQMs). It does not apply to measures that use more than one source of data in one set of specifications/instructions (e.g., claims data to identify the denominator and medical record abstraction for the numerator). 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 </w:t>
      </w:r>
    </w:p>
    <w:p w14:paraId="7D5F3C3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2b.11) Indicate whether there is more than one set of specifications for this measure.</w:t>
      </w:r>
    </w:p>
    <w:p w14:paraId="4996872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4F0D0EC" wp14:editId="358BDC1B">
            <wp:extent cx="126984" cy="126984"/>
            <wp:effectExtent l="0" t="0" r="0" b="0"/>
            <wp:docPr id="100543" name="Picture 100543" descr="Yes, there is more than one set of specifications for this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4"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Yes, there is more than one set of specifications for this measure  </w:t>
      </w:r>
    </w:p>
    <w:p w14:paraId="2ECC271B"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187C0A3" wp14:editId="5FF61C55">
            <wp:extent cx="126984" cy="126984"/>
            <wp:effectExtent l="0" t="0" r="0" b="0"/>
            <wp:docPr id="100545" name="Picture 100545" descr="No, there is only one set of specifications for this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6"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there is only one set of specifications for this measure  </w:t>
      </w:r>
    </w:p>
    <w:p w14:paraId="69051045" w14:textId="77777777" w:rsidR="00A77B3E" w:rsidRDefault="00A77B3E">
      <w:pPr>
        <w:spacing w:after="240"/>
        <w:rPr>
          <w:rFonts w:ascii="Calibri" w:eastAsia="Calibri" w:hAnsi="Calibri" w:cs="Calibri"/>
          <w:color w:val="000000"/>
          <w:sz w:val="22"/>
        </w:rPr>
      </w:pPr>
    </w:p>
    <w:p w14:paraId="024E22A1"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2b.12) Describe the method of testing conducted to compare performance scores for the same entities across the different data sources/specifications.</w:t>
      </w:r>
    </w:p>
    <w:p w14:paraId="0A931BC3"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Describe the steps―do not just name a method. Indicate what statistical analysis was used.</w:t>
      </w:r>
    </w:p>
    <w:p w14:paraId="489CADD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2b.13) Provide the statistical results from testing comparability of performance scores for the same entities when using different data sources/specifications.</w:t>
      </w:r>
    </w:p>
    <w:p w14:paraId="3DC5925F"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Examples may include correlation, and/or rank order.</w:t>
      </w:r>
    </w:p>
    <w:p w14:paraId="5F8D146F"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2b.14) Provide your interpretation of the results in terms of the differences in performance measure scores for the same entities across the different data sources/specifications.</w:t>
      </w:r>
    </w:p>
    <w:p w14:paraId="4255E2EE"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In other words, what do the results mean and what are the norms for the test conducted.</w:t>
      </w:r>
    </w:p>
    <w:p w14:paraId="73EFA0EB"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Scientific Acceptability: Validity - Other Threats to Validity (Exclusions, Risk Adjustment) (2b.15 - 2b.32)</w:t>
      </w:r>
      <w:r>
        <w:pict w14:anchorId="7FA9D107">
          <v:rect id="_x0000_i1035" style="width:468pt;height:1pt" o:hralign="center" o:hrstd="t" o:hrnoshade="t" o:hr="t" fillcolor="#326295" stroked="f">
            <v:path strokeok="f"/>
          </v:rect>
        </w:pict>
      </w:r>
    </w:p>
    <w:p w14:paraId="4AFD5D1E" w14:textId="77777777" w:rsidR="00A77B3E" w:rsidRDefault="00A77B3E">
      <w:pPr>
        <w:pStyle w:val="Heading1"/>
        <w:spacing w:before="0" w:after="240"/>
        <w:rPr>
          <w:rFonts w:ascii="Calibri" w:eastAsia="Calibri" w:hAnsi="Calibri" w:cs="Calibri"/>
          <w:b w:val="0"/>
          <w:color w:val="326295"/>
          <w:sz w:val="2"/>
        </w:rPr>
      </w:pPr>
    </w:p>
    <w:p w14:paraId="74EA2A93"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2b.15) Indicate whether the measure uses exclusions.</w:t>
      </w:r>
    </w:p>
    <w:p w14:paraId="5670521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0C4E5D1" wp14:editId="0CB1488A">
            <wp:extent cx="126984" cy="126984"/>
            <wp:effectExtent l="0" t="0" r="0" b="0"/>
            <wp:docPr id="100548" name="Picture 100548" descr="N/A or no exclu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N/A or no exclusions  </w:t>
      </w:r>
    </w:p>
    <w:p w14:paraId="2E09625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8387FCC" wp14:editId="7A8B6848">
            <wp:extent cx="126984" cy="126984"/>
            <wp:effectExtent l="0" t="0" r="0" b="0"/>
            <wp:docPr id="100550" name="Picture 100550" descr="Yes, the measure uses exclu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Yes, the measure uses exclusions.  </w:t>
      </w:r>
    </w:p>
    <w:p w14:paraId="390F8438" w14:textId="77777777" w:rsidR="00A77B3E" w:rsidRDefault="00A77B3E">
      <w:pPr>
        <w:spacing w:after="240"/>
        <w:rPr>
          <w:rFonts w:ascii="Calibri" w:eastAsia="Calibri" w:hAnsi="Calibri" w:cs="Calibri"/>
          <w:color w:val="000000"/>
          <w:sz w:val="22"/>
        </w:rPr>
      </w:pPr>
    </w:p>
    <w:p w14:paraId="23502A8B"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2b.16) Describe the method of testing exclusions and what was tested.</w:t>
      </w:r>
    </w:p>
    <w:p w14:paraId="557CD3F0"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Describe the steps―do not just name a method; what was tested, e.g., whether exclusions affect overall performance scores; what statistical analysis was </w:t>
      </w:r>
      <w:proofErr w:type="spellStart"/>
      <w:r>
        <w:rPr>
          <w:rFonts w:ascii="Calibri" w:eastAsia="Calibri" w:hAnsi="Calibri" w:cs="Calibri"/>
          <w:i/>
          <w:iCs/>
          <w:color w:val="000000"/>
          <w:sz w:val="22"/>
        </w:rPr>
        <w:t>used?</w:t>
      </w:r>
      <w:r>
        <w:rPr>
          <w:rFonts w:ascii="Calibri" w:eastAsia="Calibri" w:hAnsi="Calibri" w:cs="Calibri"/>
          <w:color w:val="000000"/>
          <w:sz w:val="22"/>
        </w:rPr>
        <w:t>In</w:t>
      </w:r>
      <w:proofErr w:type="spellEnd"/>
      <w:r>
        <w:rPr>
          <w:rFonts w:ascii="Calibri" w:eastAsia="Calibri" w:hAnsi="Calibri" w:cs="Calibri"/>
          <w:color w:val="000000"/>
          <w:sz w:val="22"/>
        </w:rPr>
        <w:t xml:space="preserve"> order to evaluate the exclusion criteria, the differences in the number of patients with and without excluding age &gt;= 75, nursing home patients, hospice patients, and dementia, were compared. We show the frequency of patients excluded due to each criteria. Additionally, we compared the performance scores before and after exclusions. We do not exclude patients from dialysis practitioners with fewer than 11 attributed patients or 2 expected events in the models. Exclusions apply to all patients in the models, regardless of whether the practitioner groups have fewer than 11 patients or 2 expected events.</w:t>
      </w:r>
    </w:p>
    <w:p w14:paraId="30DB75EE" w14:textId="77777777" w:rsidR="00A77B3E" w:rsidRDefault="00A77B3E">
      <w:pPr>
        <w:spacing w:after="240"/>
        <w:rPr>
          <w:rFonts w:ascii="Calibri" w:eastAsia="Calibri" w:hAnsi="Calibri" w:cs="Calibri"/>
          <w:color w:val="000000"/>
          <w:sz w:val="22"/>
        </w:rPr>
      </w:pPr>
    </w:p>
    <w:p w14:paraId="6E47F9D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2b.17) Provide the statistical results from testing exclusions.</w:t>
      </w:r>
    </w:p>
    <w:p w14:paraId="5A48606E"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Include overall number and percentage of individuals excluded, frequency distribution of exclusions across measured entities, and impact on performance measure scores.</w:t>
      </w:r>
    </w:p>
    <w:p w14:paraId="25A8462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5</w:t>
      </w:r>
      <w:r>
        <w:rPr>
          <w:rFonts w:ascii="Calibri" w:eastAsia="Calibri" w:hAnsi="Calibri" w:cs="Calibri"/>
          <w:color w:val="000000"/>
          <w:sz w:val="22"/>
        </w:rPr>
        <w:t>: Overall number and percentage of patients excluded</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5: Overall number and percentage of patients excluded"/>
        <w:tblDescription w:val="Table 5: Overall number and percentage of patients excluded"/>
      </w:tblPr>
      <w:tblGrid>
        <w:gridCol w:w="2976"/>
        <w:gridCol w:w="1886"/>
        <w:gridCol w:w="1886"/>
        <w:gridCol w:w="1886"/>
      </w:tblGrid>
      <w:tr w:rsidR="00233F1E" w14:paraId="07034966" w14:textId="77777777">
        <w:trPr>
          <w:cantSplit/>
          <w:trHeight w:val="915"/>
          <w:tblHeader/>
        </w:trPr>
        <w:tc>
          <w:tcPr>
            <w:tcW w:w="2976" w:type="dxa"/>
          </w:tcPr>
          <w:p w14:paraId="43976EF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1886" w:type="dxa"/>
          </w:tcPr>
          <w:p w14:paraId="23884FF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Before age, nursing home, and hospice exclusion</w:t>
            </w:r>
          </w:p>
        </w:tc>
        <w:tc>
          <w:tcPr>
            <w:tcW w:w="1886" w:type="dxa"/>
          </w:tcPr>
          <w:p w14:paraId="3F71BCC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After age, nursing home, and hospice exclusion</w:t>
            </w:r>
          </w:p>
        </w:tc>
        <w:tc>
          <w:tcPr>
            <w:tcW w:w="1886" w:type="dxa"/>
          </w:tcPr>
          <w:p w14:paraId="09651C8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Percentage excluded</w:t>
            </w:r>
          </w:p>
        </w:tc>
      </w:tr>
      <w:tr w:rsidR="00233F1E" w14:paraId="5824CCA4" w14:textId="77777777">
        <w:trPr>
          <w:cantSplit/>
          <w:trHeight w:val="315"/>
        </w:trPr>
        <w:tc>
          <w:tcPr>
            <w:tcW w:w="2976" w:type="dxa"/>
          </w:tcPr>
          <w:p w14:paraId="24237AF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Number of patients</w:t>
            </w:r>
          </w:p>
        </w:tc>
        <w:tc>
          <w:tcPr>
            <w:tcW w:w="1886" w:type="dxa"/>
          </w:tcPr>
          <w:p w14:paraId="00301B7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494,134</w:t>
            </w:r>
          </w:p>
        </w:tc>
        <w:tc>
          <w:tcPr>
            <w:tcW w:w="1886" w:type="dxa"/>
          </w:tcPr>
          <w:p w14:paraId="509A424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362,093</w:t>
            </w:r>
          </w:p>
        </w:tc>
        <w:tc>
          <w:tcPr>
            <w:tcW w:w="1886" w:type="dxa"/>
          </w:tcPr>
          <w:p w14:paraId="48ED716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26.7%</w:t>
            </w:r>
          </w:p>
        </w:tc>
      </w:tr>
    </w:tbl>
    <w:p w14:paraId="16CBA751"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5</w:t>
      </w:r>
      <w:r>
        <w:rPr>
          <w:rFonts w:ascii="Calibri" w:eastAsia="Calibri" w:hAnsi="Calibri" w:cs="Calibri"/>
          <w:color w:val="000000"/>
          <w:sz w:val="22"/>
        </w:rPr>
        <w:t>: Overall number and percentage of patients excluded</w:t>
      </w:r>
    </w:p>
    <w:p w14:paraId="1DDE8BF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*Cell intentionally left blank.</w:t>
      </w:r>
    </w:p>
    <w:p w14:paraId="7DAB7B42"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6:</w:t>
      </w:r>
      <w:r>
        <w:rPr>
          <w:rFonts w:ascii="Calibri" w:eastAsia="Calibri" w:hAnsi="Calibri" w:cs="Calibri"/>
          <w:color w:val="000000"/>
          <w:sz w:val="22"/>
        </w:rPr>
        <w:t xml:space="preserve"> Frequency distribution of patient-months excluded based on each exclusion criteria</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6: Frequency distribution of patient-months excluded based on each exclusion criteria"/>
        <w:tblDescription w:val="Table 6: Frequency distribution of patient-months excluded based on each exclusion criteria"/>
      </w:tblPr>
      <w:tblGrid>
        <w:gridCol w:w="4844"/>
        <w:gridCol w:w="2386"/>
      </w:tblGrid>
      <w:tr w:rsidR="00233F1E" w14:paraId="59D3E89A" w14:textId="77777777">
        <w:trPr>
          <w:cantSplit/>
          <w:trHeight w:val="300"/>
          <w:tblHeader/>
        </w:trPr>
        <w:tc>
          <w:tcPr>
            <w:tcW w:w="4844" w:type="dxa"/>
          </w:tcPr>
          <w:p w14:paraId="36A4839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lastRenderedPageBreak/>
              <w:t>Variable excluded</w:t>
            </w:r>
          </w:p>
        </w:tc>
        <w:tc>
          <w:tcPr>
            <w:tcW w:w="2386" w:type="dxa"/>
          </w:tcPr>
          <w:p w14:paraId="6059385B"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Frequency (%)</w:t>
            </w:r>
          </w:p>
        </w:tc>
      </w:tr>
      <w:tr w:rsidR="00233F1E" w14:paraId="3A9C796C" w14:textId="77777777">
        <w:trPr>
          <w:cantSplit/>
          <w:trHeight w:val="300"/>
        </w:trPr>
        <w:tc>
          <w:tcPr>
            <w:tcW w:w="4844" w:type="dxa"/>
          </w:tcPr>
          <w:p w14:paraId="318F4B3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Age &gt;=75</w:t>
            </w:r>
          </w:p>
        </w:tc>
        <w:tc>
          <w:tcPr>
            <w:tcW w:w="2386" w:type="dxa"/>
          </w:tcPr>
          <w:p w14:paraId="61454CB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118,703 (24.0%)</w:t>
            </w:r>
          </w:p>
        </w:tc>
      </w:tr>
      <w:tr w:rsidR="00233F1E" w14:paraId="644D1B54" w14:textId="77777777">
        <w:trPr>
          <w:cantSplit/>
          <w:trHeight w:val="302"/>
        </w:trPr>
        <w:tc>
          <w:tcPr>
            <w:tcW w:w="4844" w:type="dxa"/>
          </w:tcPr>
          <w:p w14:paraId="1FEAEA8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Nursing home from Nursing home history file</w:t>
            </w:r>
          </w:p>
        </w:tc>
        <w:tc>
          <w:tcPr>
            <w:tcW w:w="2386" w:type="dxa"/>
          </w:tcPr>
          <w:p w14:paraId="1233B25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42,684 (8.6%)</w:t>
            </w:r>
          </w:p>
        </w:tc>
      </w:tr>
      <w:tr w:rsidR="00233F1E" w14:paraId="3026EA2A" w14:textId="77777777">
        <w:trPr>
          <w:cantSplit/>
          <w:trHeight w:val="300"/>
        </w:trPr>
        <w:tc>
          <w:tcPr>
            <w:tcW w:w="4844" w:type="dxa"/>
          </w:tcPr>
          <w:p w14:paraId="7D1E450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Hospice</w:t>
            </w:r>
          </w:p>
        </w:tc>
        <w:tc>
          <w:tcPr>
            <w:tcW w:w="2386" w:type="dxa"/>
          </w:tcPr>
          <w:p w14:paraId="0D4BCDE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3,310 (0.7%)</w:t>
            </w:r>
          </w:p>
        </w:tc>
      </w:tr>
      <w:tr w:rsidR="00233F1E" w14:paraId="18B1ED8C" w14:textId="77777777">
        <w:trPr>
          <w:cantSplit/>
          <w:trHeight w:val="300"/>
        </w:trPr>
        <w:tc>
          <w:tcPr>
            <w:tcW w:w="4844" w:type="dxa"/>
          </w:tcPr>
          <w:p w14:paraId="5FF21F8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Dementia</w:t>
            </w:r>
          </w:p>
        </w:tc>
        <w:tc>
          <w:tcPr>
            <w:tcW w:w="2386" w:type="dxa"/>
          </w:tcPr>
          <w:p w14:paraId="66B068D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19,369 (3.9%)</w:t>
            </w:r>
          </w:p>
        </w:tc>
      </w:tr>
    </w:tbl>
    <w:p w14:paraId="7CF2E29B"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6:</w:t>
      </w:r>
      <w:r>
        <w:rPr>
          <w:rFonts w:ascii="Calibri" w:eastAsia="Calibri" w:hAnsi="Calibri" w:cs="Calibri"/>
          <w:color w:val="000000"/>
          <w:sz w:val="22"/>
        </w:rPr>
        <w:t xml:space="preserve"> Frequency distribution of patient-months excluded based on each exclusion criteria</w:t>
      </w:r>
    </w:p>
    <w:p w14:paraId="0CEC50D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7:</w:t>
      </w:r>
      <w:r>
        <w:rPr>
          <w:rFonts w:ascii="Calibri" w:eastAsia="Calibri" w:hAnsi="Calibri" w:cs="Calibri"/>
          <w:color w:val="000000"/>
          <w:sz w:val="22"/>
        </w:rPr>
        <w:t xml:space="preserve"> Distribution of performance scores before and after exclusion</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7: Distribution of performance scores before and after exclusion"/>
        <w:tblDescription w:val="Table 7: Distribution of performance scores before and after exclusion"/>
      </w:tblPr>
      <w:tblGrid>
        <w:gridCol w:w="1504"/>
        <w:gridCol w:w="1008"/>
        <w:gridCol w:w="991"/>
        <w:gridCol w:w="1222"/>
        <w:gridCol w:w="1243"/>
        <w:gridCol w:w="1137"/>
        <w:gridCol w:w="1108"/>
        <w:gridCol w:w="1137"/>
      </w:tblGrid>
      <w:tr w:rsidR="00233F1E" w14:paraId="1AA04BDA" w14:textId="77777777">
        <w:trPr>
          <w:cantSplit/>
          <w:trHeight w:val="315"/>
          <w:tblHeader/>
        </w:trPr>
        <w:tc>
          <w:tcPr>
            <w:tcW w:w="2148" w:type="dxa"/>
          </w:tcPr>
          <w:p w14:paraId="60E61DBF"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PSWR</w:t>
            </w:r>
          </w:p>
        </w:tc>
        <w:tc>
          <w:tcPr>
            <w:tcW w:w="1378" w:type="dxa"/>
          </w:tcPr>
          <w:p w14:paraId="771019D3"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Mean</w:t>
            </w:r>
          </w:p>
        </w:tc>
        <w:tc>
          <w:tcPr>
            <w:tcW w:w="1378" w:type="dxa"/>
          </w:tcPr>
          <w:p w14:paraId="3FBBB401"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Std Dev</w:t>
            </w:r>
          </w:p>
        </w:tc>
        <w:tc>
          <w:tcPr>
            <w:tcW w:w="1378" w:type="dxa"/>
          </w:tcPr>
          <w:p w14:paraId="1EF56A0D"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Minimum</w:t>
            </w:r>
          </w:p>
        </w:tc>
        <w:tc>
          <w:tcPr>
            <w:tcW w:w="1378" w:type="dxa"/>
          </w:tcPr>
          <w:p w14:paraId="47F2267A"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Maximum</w:t>
            </w:r>
          </w:p>
        </w:tc>
        <w:tc>
          <w:tcPr>
            <w:tcW w:w="1378" w:type="dxa"/>
          </w:tcPr>
          <w:p w14:paraId="2FBAE12D"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Lower Quartile</w:t>
            </w:r>
          </w:p>
        </w:tc>
        <w:tc>
          <w:tcPr>
            <w:tcW w:w="1378" w:type="dxa"/>
          </w:tcPr>
          <w:p w14:paraId="2F5D406F"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Median</w:t>
            </w:r>
          </w:p>
        </w:tc>
        <w:tc>
          <w:tcPr>
            <w:tcW w:w="1378" w:type="dxa"/>
          </w:tcPr>
          <w:p w14:paraId="277DA7EF" w14:textId="77777777" w:rsidR="00A77B3E" w:rsidRDefault="00000000">
            <w:pPr>
              <w:spacing w:after="240"/>
              <w:jc w:val="center"/>
              <w:rPr>
                <w:rFonts w:ascii="Calibri" w:eastAsia="Calibri" w:hAnsi="Calibri" w:cs="Calibri"/>
                <w:color w:val="000000"/>
                <w:sz w:val="22"/>
              </w:rPr>
            </w:pPr>
            <w:r>
              <w:rPr>
                <w:rFonts w:ascii="Calibri" w:eastAsia="Calibri" w:hAnsi="Calibri" w:cs="Calibri"/>
                <w:b/>
                <w:bCs/>
                <w:color w:val="000000"/>
                <w:sz w:val="22"/>
              </w:rPr>
              <w:t>Upper Quartile</w:t>
            </w:r>
          </w:p>
        </w:tc>
      </w:tr>
      <w:tr w:rsidR="00233F1E" w14:paraId="13E7F88A" w14:textId="77777777">
        <w:trPr>
          <w:cantSplit/>
          <w:trHeight w:val="315"/>
        </w:trPr>
        <w:tc>
          <w:tcPr>
            <w:tcW w:w="2148" w:type="dxa"/>
          </w:tcPr>
          <w:p w14:paraId="128A9D6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Before exclusion</w:t>
            </w:r>
          </w:p>
        </w:tc>
        <w:tc>
          <w:tcPr>
            <w:tcW w:w="1378" w:type="dxa"/>
          </w:tcPr>
          <w:p w14:paraId="6AC421A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1.017</w:t>
            </w:r>
          </w:p>
        </w:tc>
        <w:tc>
          <w:tcPr>
            <w:tcW w:w="1378" w:type="dxa"/>
          </w:tcPr>
          <w:p w14:paraId="014CAD5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0.523</w:t>
            </w:r>
          </w:p>
        </w:tc>
        <w:tc>
          <w:tcPr>
            <w:tcW w:w="1378" w:type="dxa"/>
          </w:tcPr>
          <w:p w14:paraId="75A36F3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w:t>
            </w:r>
          </w:p>
        </w:tc>
        <w:tc>
          <w:tcPr>
            <w:tcW w:w="1378" w:type="dxa"/>
          </w:tcPr>
          <w:p w14:paraId="19EEBE8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5.591</w:t>
            </w:r>
          </w:p>
        </w:tc>
        <w:tc>
          <w:tcPr>
            <w:tcW w:w="1378" w:type="dxa"/>
          </w:tcPr>
          <w:p w14:paraId="770FA70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0.672</w:t>
            </w:r>
          </w:p>
        </w:tc>
        <w:tc>
          <w:tcPr>
            <w:tcW w:w="1378" w:type="dxa"/>
          </w:tcPr>
          <w:p w14:paraId="2E8829B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0.947</w:t>
            </w:r>
          </w:p>
        </w:tc>
        <w:tc>
          <w:tcPr>
            <w:tcW w:w="1378" w:type="dxa"/>
          </w:tcPr>
          <w:p w14:paraId="38B5075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1.279</w:t>
            </w:r>
          </w:p>
        </w:tc>
      </w:tr>
      <w:tr w:rsidR="00233F1E" w14:paraId="5F0F9C7C" w14:textId="77777777">
        <w:trPr>
          <w:cantSplit/>
          <w:trHeight w:val="315"/>
        </w:trPr>
        <w:tc>
          <w:tcPr>
            <w:tcW w:w="2148" w:type="dxa"/>
          </w:tcPr>
          <w:p w14:paraId="45368EB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After exclusion</w:t>
            </w:r>
          </w:p>
        </w:tc>
        <w:tc>
          <w:tcPr>
            <w:tcW w:w="1378" w:type="dxa"/>
          </w:tcPr>
          <w:p w14:paraId="590EC2D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1.027</w:t>
            </w:r>
          </w:p>
        </w:tc>
        <w:tc>
          <w:tcPr>
            <w:tcW w:w="1378" w:type="dxa"/>
          </w:tcPr>
          <w:p w14:paraId="2656D98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0.55</w:t>
            </w:r>
          </w:p>
        </w:tc>
        <w:tc>
          <w:tcPr>
            <w:tcW w:w="1378" w:type="dxa"/>
          </w:tcPr>
          <w:p w14:paraId="6CE3D4D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w:t>
            </w:r>
          </w:p>
        </w:tc>
        <w:tc>
          <w:tcPr>
            <w:tcW w:w="1378" w:type="dxa"/>
          </w:tcPr>
          <w:p w14:paraId="7B68991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6.843</w:t>
            </w:r>
          </w:p>
        </w:tc>
        <w:tc>
          <w:tcPr>
            <w:tcW w:w="1378" w:type="dxa"/>
          </w:tcPr>
          <w:p w14:paraId="76C6CE1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0.666</w:t>
            </w:r>
          </w:p>
        </w:tc>
        <w:tc>
          <w:tcPr>
            <w:tcW w:w="1378" w:type="dxa"/>
          </w:tcPr>
          <w:p w14:paraId="43DE33F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0.943</w:t>
            </w:r>
          </w:p>
        </w:tc>
        <w:tc>
          <w:tcPr>
            <w:tcW w:w="1378" w:type="dxa"/>
          </w:tcPr>
          <w:p w14:paraId="3E7D115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1.297</w:t>
            </w:r>
          </w:p>
        </w:tc>
      </w:tr>
    </w:tbl>
    <w:p w14:paraId="74F3255F"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7:</w:t>
      </w:r>
      <w:r>
        <w:rPr>
          <w:rFonts w:ascii="Calibri" w:eastAsia="Calibri" w:hAnsi="Calibri" w:cs="Calibri"/>
          <w:color w:val="000000"/>
          <w:sz w:val="22"/>
        </w:rPr>
        <w:t xml:space="preserve"> Distribution of performance scores before and after exclusion</w:t>
      </w:r>
    </w:p>
    <w:p w14:paraId="2EEDB60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Figure 2:</w:t>
      </w:r>
      <w:r>
        <w:rPr>
          <w:rFonts w:ascii="Calibri" w:eastAsia="Calibri" w:hAnsi="Calibri" w:cs="Calibri"/>
          <w:color w:val="000000"/>
          <w:sz w:val="22"/>
        </w:rPr>
        <w:t xml:space="preserve"> Distribution of PSWR before exclusions</w:t>
      </w:r>
    </w:p>
    <w:p w14:paraId="706D28F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512C94AE" wp14:editId="04513D39">
            <wp:extent cx="5943600" cy="4457700"/>
            <wp:effectExtent l="0" t="0" r="0" b="0"/>
            <wp:docPr id="100552" name="Picture 100552" descr="Figure 2 is a bar chart of the distribution of PSWR before exclu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2" name="Picture 100552" descr="Figure 2 is a bar chart of the distribution of PSWR before exclusions"/>
                    <pic:cNvPicPr>
                      <a:picLocks noChangeAspect="1"/>
                    </pic:cNvPicPr>
                  </pic:nvPicPr>
                  <pic:blipFill>
                    <a:blip r:embed="rId24"/>
                    <a:stretch>
                      <a:fillRect/>
                    </a:stretch>
                  </pic:blipFill>
                  <pic:spPr>
                    <a:xfrm>
                      <a:off x="0" y="0"/>
                      <a:ext cx="5943600" cy="4457700"/>
                    </a:xfrm>
                    <a:prstGeom prst="rect">
                      <a:avLst/>
                    </a:prstGeom>
                  </pic:spPr>
                </pic:pic>
              </a:graphicData>
            </a:graphic>
          </wp:inline>
        </w:drawing>
      </w:r>
    </w:p>
    <w:p w14:paraId="26C8B62A"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Figure 3: </w:t>
      </w:r>
      <w:r>
        <w:rPr>
          <w:rFonts w:ascii="Calibri" w:eastAsia="Calibri" w:hAnsi="Calibri" w:cs="Calibri"/>
          <w:color w:val="000000"/>
          <w:sz w:val="22"/>
        </w:rPr>
        <w:t>Distribution of PSWR after exclusions</w:t>
      </w:r>
    </w:p>
    <w:p w14:paraId="7D01329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5311F576" wp14:editId="018A2063">
            <wp:extent cx="5943600" cy="4457700"/>
            <wp:effectExtent l="0" t="0" r="0" b="0"/>
            <wp:docPr id="100554" name="Picture 100554" descr="Figure 3 is a bar chart of the distribution of PSWR after exclu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4" name="Picture 100554" descr="Figure 3 is a bar chart of the distribution of PSWR after exclusions"/>
                    <pic:cNvPicPr>
                      <a:picLocks noChangeAspect="1"/>
                    </pic:cNvPicPr>
                  </pic:nvPicPr>
                  <pic:blipFill>
                    <a:blip r:embed="rId25"/>
                    <a:stretch>
                      <a:fillRect/>
                    </a:stretch>
                  </pic:blipFill>
                  <pic:spPr>
                    <a:xfrm>
                      <a:off x="0" y="0"/>
                      <a:ext cx="5943600" cy="4457700"/>
                    </a:xfrm>
                    <a:prstGeom prst="rect">
                      <a:avLst/>
                    </a:prstGeom>
                  </pic:spPr>
                </pic:pic>
              </a:graphicData>
            </a:graphic>
          </wp:inline>
        </w:drawing>
      </w:r>
    </w:p>
    <w:p w14:paraId="31FF8435"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Figure 4: </w:t>
      </w:r>
      <w:r>
        <w:rPr>
          <w:rFonts w:ascii="Calibri" w:eastAsia="Calibri" w:hAnsi="Calibri" w:cs="Calibri"/>
          <w:color w:val="000000"/>
          <w:sz w:val="22"/>
        </w:rPr>
        <w:t>Scatterplot of PSWR with and without exclusions</w:t>
      </w:r>
    </w:p>
    <w:p w14:paraId="327FB0B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422D84A7" wp14:editId="6746CD03">
            <wp:extent cx="5943600" cy="4457700"/>
            <wp:effectExtent l="0" t="0" r="0" b="0"/>
            <wp:docPr id="100556" name="Picture 100556" descr="Figure 4 describes a scatterplot of PSWR expressed as a percentage with and without exclusions using a scatterplot. For an interpretation of the results, see section 2b.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
                    <pic:cNvPicPr>
                      <a:picLocks noChangeAspect="1"/>
                    </pic:cNvPicPr>
                  </pic:nvPicPr>
                  <pic:blipFill>
                    <a:blip r:embed="rId26"/>
                    <a:stretch>
                      <a:fillRect/>
                    </a:stretch>
                  </pic:blipFill>
                  <pic:spPr>
                    <a:xfrm>
                      <a:off x="0" y="0"/>
                      <a:ext cx="5943600" cy="4457700"/>
                    </a:xfrm>
                    <a:prstGeom prst="rect">
                      <a:avLst/>
                    </a:prstGeom>
                  </pic:spPr>
                </pic:pic>
              </a:graphicData>
            </a:graphic>
          </wp:inline>
        </w:drawing>
      </w:r>
    </w:p>
    <w:p w14:paraId="67AAE63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8: </w:t>
      </w:r>
      <w:r>
        <w:rPr>
          <w:rFonts w:ascii="Calibri" w:eastAsia="Calibri" w:hAnsi="Calibri" w:cs="Calibri"/>
          <w:color w:val="000000"/>
          <w:sz w:val="22"/>
        </w:rPr>
        <w:t>Comparison of performance scores with and without excluded patients</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8:&amp;nbsp;Comparison of performance scores with and without excluded patients"/>
        <w:tblDescription w:val="Table 8:&amp;nbsp;Comparison of performance scores with and without excluded patients"/>
      </w:tblPr>
      <w:tblGrid>
        <w:gridCol w:w="1564"/>
        <w:gridCol w:w="1550"/>
        <w:gridCol w:w="1559"/>
        <w:gridCol w:w="1559"/>
        <w:gridCol w:w="1559"/>
        <w:gridCol w:w="1559"/>
      </w:tblGrid>
      <w:tr w:rsidR="00233F1E" w14:paraId="67D6AD44" w14:textId="77777777">
        <w:trPr>
          <w:cantSplit/>
          <w:trHeight w:val="915"/>
          <w:tblHeader/>
        </w:trPr>
        <w:tc>
          <w:tcPr>
            <w:tcW w:w="1896" w:type="dxa"/>
          </w:tcPr>
          <w:p w14:paraId="224EE3B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1886" w:type="dxa"/>
          </w:tcPr>
          <w:p w14:paraId="4782902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1886" w:type="dxa"/>
          </w:tcPr>
          <w:p w14:paraId="76E0727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without patient-level exclusion</w:t>
            </w:r>
          </w:p>
        </w:tc>
        <w:tc>
          <w:tcPr>
            <w:tcW w:w="1886" w:type="dxa"/>
          </w:tcPr>
          <w:p w14:paraId="1B93503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without patient-level exclusion</w:t>
            </w:r>
          </w:p>
        </w:tc>
        <w:tc>
          <w:tcPr>
            <w:tcW w:w="1886" w:type="dxa"/>
          </w:tcPr>
          <w:p w14:paraId="7D78141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without patient-level exclusion</w:t>
            </w:r>
          </w:p>
        </w:tc>
        <w:tc>
          <w:tcPr>
            <w:tcW w:w="1886" w:type="dxa"/>
          </w:tcPr>
          <w:p w14:paraId="02A750E2"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without patient-level exclusion</w:t>
            </w:r>
          </w:p>
        </w:tc>
      </w:tr>
      <w:tr w:rsidR="00233F1E" w14:paraId="2BE40708" w14:textId="77777777">
        <w:trPr>
          <w:cantSplit/>
          <w:trHeight w:val="615"/>
        </w:trPr>
        <w:tc>
          <w:tcPr>
            <w:tcW w:w="1896" w:type="dxa"/>
          </w:tcPr>
          <w:p w14:paraId="31C1E84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1886" w:type="dxa"/>
          </w:tcPr>
          <w:p w14:paraId="76F84C0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1886" w:type="dxa"/>
          </w:tcPr>
          <w:p w14:paraId="2E895B6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Better than Expected</w:t>
            </w:r>
          </w:p>
        </w:tc>
        <w:tc>
          <w:tcPr>
            <w:tcW w:w="1886" w:type="dxa"/>
          </w:tcPr>
          <w:p w14:paraId="6684FE99"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As Expected</w:t>
            </w:r>
          </w:p>
        </w:tc>
        <w:tc>
          <w:tcPr>
            <w:tcW w:w="1886" w:type="dxa"/>
          </w:tcPr>
          <w:p w14:paraId="17280E8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Worse than Expected</w:t>
            </w:r>
          </w:p>
        </w:tc>
        <w:tc>
          <w:tcPr>
            <w:tcW w:w="1886" w:type="dxa"/>
          </w:tcPr>
          <w:p w14:paraId="76C2D7F7"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Total</w:t>
            </w:r>
          </w:p>
        </w:tc>
      </w:tr>
      <w:tr w:rsidR="00233F1E" w14:paraId="10E1C9C2" w14:textId="77777777">
        <w:trPr>
          <w:cantSplit/>
          <w:trHeight w:val="915"/>
        </w:trPr>
        <w:tc>
          <w:tcPr>
            <w:tcW w:w="1896" w:type="dxa"/>
          </w:tcPr>
          <w:p w14:paraId="65EE91C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patient-level exclusion</w:t>
            </w:r>
          </w:p>
        </w:tc>
        <w:tc>
          <w:tcPr>
            <w:tcW w:w="1886" w:type="dxa"/>
          </w:tcPr>
          <w:p w14:paraId="0C5A566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Better than Expected</w:t>
            </w:r>
          </w:p>
        </w:tc>
        <w:tc>
          <w:tcPr>
            <w:tcW w:w="1886" w:type="dxa"/>
          </w:tcPr>
          <w:p w14:paraId="00B19D97"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68</w:t>
            </w:r>
          </w:p>
        </w:tc>
        <w:tc>
          <w:tcPr>
            <w:tcW w:w="1886" w:type="dxa"/>
          </w:tcPr>
          <w:p w14:paraId="38F75A1C"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16</w:t>
            </w:r>
          </w:p>
        </w:tc>
        <w:tc>
          <w:tcPr>
            <w:tcW w:w="1886" w:type="dxa"/>
          </w:tcPr>
          <w:p w14:paraId="0448BD1E"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0</w:t>
            </w:r>
          </w:p>
        </w:tc>
        <w:tc>
          <w:tcPr>
            <w:tcW w:w="1886" w:type="dxa"/>
          </w:tcPr>
          <w:p w14:paraId="758BD7C6"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84</w:t>
            </w:r>
          </w:p>
        </w:tc>
      </w:tr>
      <w:tr w:rsidR="00233F1E" w14:paraId="253725D0" w14:textId="77777777">
        <w:trPr>
          <w:cantSplit/>
          <w:trHeight w:val="915"/>
        </w:trPr>
        <w:tc>
          <w:tcPr>
            <w:tcW w:w="1896" w:type="dxa"/>
          </w:tcPr>
          <w:p w14:paraId="4105D0A6"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patient-level exclusion</w:t>
            </w:r>
          </w:p>
        </w:tc>
        <w:tc>
          <w:tcPr>
            <w:tcW w:w="1886" w:type="dxa"/>
          </w:tcPr>
          <w:p w14:paraId="17223A7D"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As Expected</w:t>
            </w:r>
          </w:p>
        </w:tc>
        <w:tc>
          <w:tcPr>
            <w:tcW w:w="1886" w:type="dxa"/>
          </w:tcPr>
          <w:p w14:paraId="172A7A25"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12</w:t>
            </w:r>
          </w:p>
        </w:tc>
        <w:tc>
          <w:tcPr>
            <w:tcW w:w="1886" w:type="dxa"/>
          </w:tcPr>
          <w:p w14:paraId="539CA1C6"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1865</w:t>
            </w:r>
          </w:p>
        </w:tc>
        <w:tc>
          <w:tcPr>
            <w:tcW w:w="1886" w:type="dxa"/>
          </w:tcPr>
          <w:p w14:paraId="3AF71BF2"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8</w:t>
            </w:r>
          </w:p>
        </w:tc>
        <w:tc>
          <w:tcPr>
            <w:tcW w:w="1886" w:type="dxa"/>
          </w:tcPr>
          <w:p w14:paraId="34F7E5C9"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1885</w:t>
            </w:r>
          </w:p>
        </w:tc>
      </w:tr>
      <w:tr w:rsidR="00233F1E" w14:paraId="4213069B" w14:textId="77777777">
        <w:trPr>
          <w:cantSplit/>
          <w:trHeight w:val="915"/>
        </w:trPr>
        <w:tc>
          <w:tcPr>
            <w:tcW w:w="1896" w:type="dxa"/>
          </w:tcPr>
          <w:p w14:paraId="4FB2759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patient-level exclusion</w:t>
            </w:r>
          </w:p>
        </w:tc>
        <w:tc>
          <w:tcPr>
            <w:tcW w:w="1886" w:type="dxa"/>
          </w:tcPr>
          <w:p w14:paraId="0C55808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Worse than Expected</w:t>
            </w:r>
          </w:p>
        </w:tc>
        <w:tc>
          <w:tcPr>
            <w:tcW w:w="1886" w:type="dxa"/>
          </w:tcPr>
          <w:p w14:paraId="473001F3"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0</w:t>
            </w:r>
          </w:p>
        </w:tc>
        <w:tc>
          <w:tcPr>
            <w:tcW w:w="1886" w:type="dxa"/>
          </w:tcPr>
          <w:p w14:paraId="17C79162"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11</w:t>
            </w:r>
          </w:p>
        </w:tc>
        <w:tc>
          <w:tcPr>
            <w:tcW w:w="1886" w:type="dxa"/>
          </w:tcPr>
          <w:p w14:paraId="5E2128BA"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32</w:t>
            </w:r>
          </w:p>
        </w:tc>
        <w:tc>
          <w:tcPr>
            <w:tcW w:w="1886" w:type="dxa"/>
          </w:tcPr>
          <w:p w14:paraId="39245664"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43</w:t>
            </w:r>
          </w:p>
        </w:tc>
      </w:tr>
      <w:tr w:rsidR="00233F1E" w14:paraId="0F24D6DB" w14:textId="77777777">
        <w:trPr>
          <w:cantSplit/>
          <w:trHeight w:val="915"/>
        </w:trPr>
        <w:tc>
          <w:tcPr>
            <w:tcW w:w="1896" w:type="dxa"/>
          </w:tcPr>
          <w:p w14:paraId="6EF13EB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lastRenderedPageBreak/>
              <w:t>PSWR with patient-level exclusion</w:t>
            </w:r>
          </w:p>
        </w:tc>
        <w:tc>
          <w:tcPr>
            <w:tcW w:w="1886" w:type="dxa"/>
          </w:tcPr>
          <w:p w14:paraId="37FF436D"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Total</w:t>
            </w:r>
          </w:p>
        </w:tc>
        <w:tc>
          <w:tcPr>
            <w:tcW w:w="1886" w:type="dxa"/>
          </w:tcPr>
          <w:p w14:paraId="56CA83BD"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80</w:t>
            </w:r>
          </w:p>
        </w:tc>
        <w:tc>
          <w:tcPr>
            <w:tcW w:w="1886" w:type="dxa"/>
          </w:tcPr>
          <w:p w14:paraId="322CCD04"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1892</w:t>
            </w:r>
          </w:p>
        </w:tc>
        <w:tc>
          <w:tcPr>
            <w:tcW w:w="1886" w:type="dxa"/>
          </w:tcPr>
          <w:p w14:paraId="7BC1E6BE"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40</w:t>
            </w:r>
          </w:p>
        </w:tc>
        <w:tc>
          <w:tcPr>
            <w:tcW w:w="1886" w:type="dxa"/>
          </w:tcPr>
          <w:p w14:paraId="58BE147D"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2012</w:t>
            </w:r>
          </w:p>
        </w:tc>
      </w:tr>
    </w:tbl>
    <w:p w14:paraId="13534210"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8: </w:t>
      </w:r>
      <w:r>
        <w:rPr>
          <w:rFonts w:ascii="Calibri" w:eastAsia="Calibri" w:hAnsi="Calibri" w:cs="Calibri"/>
          <w:color w:val="000000"/>
          <w:sz w:val="22"/>
        </w:rPr>
        <w:t>Comparison of performance scores with and without excluded patients</w:t>
      </w:r>
    </w:p>
    <w:p w14:paraId="7C1A239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*Cell intentionally left blank. 10 practitioner groups do not have a PSWR in the before exclusions due to &lt;2 expected events.</w:t>
      </w:r>
    </w:p>
    <w:p w14:paraId="11D5735D"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Figure 5: </w:t>
      </w:r>
      <w:r>
        <w:rPr>
          <w:rFonts w:ascii="Calibri" w:eastAsia="Calibri" w:hAnsi="Calibri" w:cs="Calibri"/>
          <w:color w:val="000000"/>
          <w:sz w:val="22"/>
        </w:rPr>
        <w:t>Distribution of excluded patients (%) across dialysis practitioner group practices</w:t>
      </w:r>
    </w:p>
    <w:p w14:paraId="44B7802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233DDD5" wp14:editId="3AD203E1">
            <wp:extent cx="5943600" cy="4457700"/>
            <wp:effectExtent l="0" t="0" r="0" b="0"/>
            <wp:docPr id="100558" name="Picture 100558" descr="Figure 5 describes a distribution of excluded patients at dialysis practitioner group practice using a boxplot. For an interpretation of the results, see section 2b.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
                    <pic:cNvPicPr>
                      <a:picLocks noChangeAspect="1"/>
                    </pic:cNvPicPr>
                  </pic:nvPicPr>
                  <pic:blipFill>
                    <a:blip r:embed="rId27"/>
                    <a:stretch>
                      <a:fillRect/>
                    </a:stretch>
                  </pic:blipFill>
                  <pic:spPr>
                    <a:xfrm>
                      <a:off x="0" y="0"/>
                      <a:ext cx="5943600" cy="4457700"/>
                    </a:xfrm>
                    <a:prstGeom prst="rect">
                      <a:avLst/>
                    </a:prstGeom>
                  </pic:spPr>
                </pic:pic>
              </a:graphicData>
            </a:graphic>
          </wp:inline>
        </w:drawing>
      </w:r>
    </w:p>
    <w:p w14:paraId="4EBBB83F" w14:textId="77777777" w:rsidR="00A77B3E" w:rsidRDefault="00A77B3E">
      <w:pPr>
        <w:spacing w:after="240"/>
        <w:rPr>
          <w:rFonts w:ascii="Calibri" w:eastAsia="Calibri" w:hAnsi="Calibri" w:cs="Calibri"/>
          <w:color w:val="000000"/>
          <w:sz w:val="22"/>
        </w:rPr>
      </w:pPr>
    </w:p>
    <w:p w14:paraId="12983A8E" w14:textId="77777777" w:rsidR="00A77B3E" w:rsidRDefault="00A77B3E">
      <w:pPr>
        <w:spacing w:after="240"/>
        <w:rPr>
          <w:rFonts w:ascii="Calibri" w:eastAsia="Calibri" w:hAnsi="Calibri" w:cs="Calibri"/>
          <w:color w:val="000000"/>
          <w:sz w:val="22"/>
        </w:rPr>
      </w:pPr>
    </w:p>
    <w:p w14:paraId="750B221D"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2b.18) Provide your interpretation of the results, in terms of demonstrating that exclusions are needed to prevent unfair distortion of performance results.</w:t>
      </w:r>
    </w:p>
    <w:p w14:paraId="4728AC25"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lastRenderedPageBreak/>
        <w:t xml:space="preserve">In other words, the value outweighs the burden of increased data collection and analysis. Note: If patient preference is an exclusion, the measure must be specified so that the effect on the performance score is transparent, e.g., scores with and without </w:t>
      </w:r>
      <w:proofErr w:type="spellStart"/>
      <w:r>
        <w:rPr>
          <w:rFonts w:ascii="Calibri" w:eastAsia="Calibri" w:hAnsi="Calibri" w:cs="Calibri"/>
          <w:i/>
          <w:iCs/>
          <w:color w:val="000000"/>
          <w:sz w:val="22"/>
        </w:rPr>
        <w:t>exclusion.</w:t>
      </w:r>
      <w:r>
        <w:rPr>
          <w:rFonts w:ascii="Calibri" w:eastAsia="Calibri" w:hAnsi="Calibri" w:cs="Calibri"/>
          <w:color w:val="000000"/>
          <w:sz w:val="22"/>
        </w:rPr>
        <w:t>Although</w:t>
      </w:r>
      <w:proofErr w:type="spellEnd"/>
      <w:r>
        <w:rPr>
          <w:rFonts w:ascii="Calibri" w:eastAsia="Calibri" w:hAnsi="Calibri" w:cs="Calibri"/>
          <w:color w:val="000000"/>
          <w:sz w:val="22"/>
        </w:rPr>
        <w:t xml:space="preserve"> performance scores are modestly affected by the exclusions (Table 7-8, and Figures 2-4), the exclusions are deemed important on clinical grounds as they represent a group of patients highly unlikely to be suitable for transplant waitlisting. Furthermore, there is a fair degree of variation in the percentage of patients excluded across practitioner groups, as shown in Figure 5. Finally, as the data to determine the exclusions is readily available, there is minimal additional burden for analysis anticipated by using these exclusion criteria.</w:t>
      </w:r>
    </w:p>
    <w:p w14:paraId="7E60D9C9" w14:textId="77777777" w:rsidR="00A77B3E" w:rsidRDefault="00A77B3E">
      <w:pPr>
        <w:spacing w:after="240"/>
        <w:rPr>
          <w:rFonts w:ascii="Calibri" w:eastAsia="Calibri" w:hAnsi="Calibri" w:cs="Calibri"/>
          <w:color w:val="000000"/>
          <w:sz w:val="22"/>
        </w:rPr>
      </w:pPr>
    </w:p>
    <w:p w14:paraId="648FE5C2"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2b.19) Check all methods used to address risk factors.</w:t>
      </w:r>
    </w:p>
    <w:p w14:paraId="7F6E397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5EB9DDD" wp14:editId="5B13F9EE">
            <wp:extent cx="126984" cy="126984"/>
            <wp:effectExtent l="0" t="0" r="0" b="0"/>
            <wp:docPr id="100560" name="Picture 100560" descr="Statistical risk model with risk factors (specify number of risk fa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Statistical risk model with risk factors (specify number of risk factors)  </w:t>
      </w:r>
    </w:p>
    <w:p w14:paraId="42A04D7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Detailed in 2b.20).</w:t>
      </w:r>
    </w:p>
    <w:p w14:paraId="1AC8E58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86806B7" wp14:editId="39D6597F">
            <wp:extent cx="126984" cy="126984"/>
            <wp:effectExtent l="0" t="0" r="0" b="0"/>
            <wp:docPr id="100562" name="Picture 100562" descr="Stratification by risk category (specify number of categ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Stratification by risk category (specify number of categories)  </w:t>
      </w:r>
    </w:p>
    <w:p w14:paraId="2819A22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F342DC2" wp14:editId="3FCC5666">
            <wp:extent cx="126984" cy="126984"/>
            <wp:effectExtent l="0" t="0" r="0" b="0"/>
            <wp:docPr id="100564" name="Picture 100564"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7A6EFB5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D1B68B0" wp14:editId="3F8BF56A">
            <wp:extent cx="126984" cy="126984"/>
            <wp:effectExtent l="0" t="0" r="0" b="0"/>
            <wp:docPr id="100566" name="Picture 100566" descr="No risk adjustment or stra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risk adjustment or stratification  </w:t>
      </w:r>
    </w:p>
    <w:p w14:paraId="0EAD7A39" w14:textId="77777777" w:rsidR="00A77B3E" w:rsidRDefault="00A77B3E">
      <w:pPr>
        <w:spacing w:after="240"/>
        <w:rPr>
          <w:rFonts w:ascii="Calibri" w:eastAsia="Calibri" w:hAnsi="Calibri" w:cs="Calibri"/>
          <w:color w:val="000000"/>
          <w:sz w:val="22"/>
        </w:rPr>
      </w:pPr>
    </w:p>
    <w:p w14:paraId="30369DF9"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2b.20) If using statistical risk models, provide detailed risk model specifications, including the risk model method, risk factors, risk factor data sources, coefficients, equations, codes with descriptors, and definitions.</w:t>
      </w:r>
    </w:p>
    <w:p w14:paraId="3A5714F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9: </w:t>
      </w:r>
      <w:r>
        <w:rPr>
          <w:rFonts w:ascii="Calibri" w:eastAsia="Calibri" w:hAnsi="Calibri" w:cs="Calibri"/>
          <w:color w:val="000000"/>
          <w:sz w:val="22"/>
        </w:rPr>
        <w:t>Patient characteristics included in the model as covariate variables and the data source.</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9:&amp;nbsp;Patient characteristics included in the model as covariate variables and the data source."/>
        <w:tblDescription w:val="Table 9:&amp;nbsp;Patient characteristics included in the model as covariate variables and the data source."/>
      </w:tblPr>
      <w:tblGrid>
        <w:gridCol w:w="4171"/>
        <w:gridCol w:w="5179"/>
      </w:tblGrid>
      <w:tr w:rsidR="00233F1E" w14:paraId="39DDB9F7" w14:textId="77777777">
        <w:trPr>
          <w:cantSplit/>
          <w:trHeight w:val="300"/>
          <w:tblHeader/>
        </w:trPr>
        <w:tc>
          <w:tcPr>
            <w:tcW w:w="4412" w:type="dxa"/>
          </w:tcPr>
          <w:p w14:paraId="39CB90A9"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Covariate</w:t>
            </w:r>
          </w:p>
        </w:tc>
        <w:tc>
          <w:tcPr>
            <w:tcW w:w="5554" w:type="dxa"/>
          </w:tcPr>
          <w:p w14:paraId="517969D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Notes</w:t>
            </w:r>
          </w:p>
        </w:tc>
      </w:tr>
      <w:tr w:rsidR="00233F1E" w14:paraId="36ACCC1D" w14:textId="77777777">
        <w:trPr>
          <w:cantSplit/>
          <w:trHeight w:val="300"/>
        </w:trPr>
        <w:tc>
          <w:tcPr>
            <w:tcW w:w="4412" w:type="dxa"/>
          </w:tcPr>
          <w:p w14:paraId="0A340B4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Age categories</w:t>
            </w:r>
          </w:p>
        </w:tc>
        <w:tc>
          <w:tcPr>
            <w:tcW w:w="5554" w:type="dxa"/>
          </w:tcPr>
          <w:p w14:paraId="09A2694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0-4; 5-9;  10-14; 15-19; 20-24; 25-29; 30-34; 35-39; 40-44; 45-49; 50-54; 55-59; 60-64; 65-69 (reference); 70-74</w:t>
            </w:r>
          </w:p>
        </w:tc>
      </w:tr>
      <w:tr w:rsidR="00233F1E" w14:paraId="4FB1043E" w14:textId="77777777">
        <w:trPr>
          <w:cantSplit/>
          <w:trHeight w:val="300"/>
        </w:trPr>
        <w:tc>
          <w:tcPr>
            <w:tcW w:w="4412" w:type="dxa"/>
          </w:tcPr>
          <w:p w14:paraId="1E1F44C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Dual eligibility</w:t>
            </w:r>
          </w:p>
        </w:tc>
        <w:tc>
          <w:tcPr>
            <w:tcW w:w="5554" w:type="dxa"/>
          </w:tcPr>
          <w:p w14:paraId="309E9B1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30048FDB" w14:textId="77777777">
        <w:trPr>
          <w:cantSplit/>
          <w:trHeight w:val="300"/>
        </w:trPr>
        <w:tc>
          <w:tcPr>
            <w:tcW w:w="4412" w:type="dxa"/>
          </w:tcPr>
          <w:p w14:paraId="54FCA98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ADI</w:t>
            </w:r>
          </w:p>
        </w:tc>
        <w:tc>
          <w:tcPr>
            <w:tcW w:w="5554" w:type="dxa"/>
          </w:tcPr>
          <w:p w14:paraId="7C003BD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Area Deprivation Index</w:t>
            </w:r>
          </w:p>
        </w:tc>
      </w:tr>
      <w:tr w:rsidR="00233F1E" w14:paraId="5755FC75" w14:textId="77777777">
        <w:trPr>
          <w:cantSplit/>
          <w:trHeight w:val="300"/>
        </w:trPr>
        <w:tc>
          <w:tcPr>
            <w:tcW w:w="4412" w:type="dxa"/>
          </w:tcPr>
          <w:p w14:paraId="3A0F9C0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Previous waitlisting</w:t>
            </w:r>
          </w:p>
        </w:tc>
        <w:tc>
          <w:tcPr>
            <w:tcW w:w="5554" w:type="dxa"/>
          </w:tcPr>
          <w:p w14:paraId="03E084D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18B0246E" w14:textId="77777777">
        <w:trPr>
          <w:cantSplit/>
          <w:trHeight w:val="300"/>
        </w:trPr>
        <w:tc>
          <w:tcPr>
            <w:tcW w:w="4412" w:type="dxa"/>
          </w:tcPr>
          <w:p w14:paraId="18C2FD1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Previous transplant</w:t>
            </w:r>
          </w:p>
        </w:tc>
        <w:tc>
          <w:tcPr>
            <w:tcW w:w="5554" w:type="dxa"/>
          </w:tcPr>
          <w:p w14:paraId="0B74BE2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7F5CB90A" w14:textId="77777777">
        <w:trPr>
          <w:cantSplit/>
          <w:trHeight w:val="300"/>
        </w:trPr>
        <w:tc>
          <w:tcPr>
            <w:tcW w:w="4412" w:type="dxa"/>
          </w:tcPr>
          <w:p w14:paraId="38725B4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Year</w:t>
            </w:r>
          </w:p>
        </w:tc>
        <w:tc>
          <w:tcPr>
            <w:tcW w:w="5554" w:type="dxa"/>
          </w:tcPr>
          <w:p w14:paraId="1624083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2017; 2018; 2019 (reference)</w:t>
            </w:r>
          </w:p>
        </w:tc>
      </w:tr>
      <w:tr w:rsidR="00233F1E" w14:paraId="3DD77FAF" w14:textId="77777777">
        <w:trPr>
          <w:cantSplit/>
          <w:trHeight w:val="300"/>
        </w:trPr>
        <w:tc>
          <w:tcPr>
            <w:tcW w:w="4412" w:type="dxa"/>
          </w:tcPr>
          <w:p w14:paraId="2333AD4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Transplant center characteristics</w:t>
            </w:r>
          </w:p>
        </w:tc>
        <w:tc>
          <w:tcPr>
            <w:tcW w:w="5554" w:type="dxa"/>
          </w:tcPr>
          <w:p w14:paraId="108AF4A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Weighted waitlist mortality ratio; Weighted transplant rate ratio</w:t>
            </w:r>
          </w:p>
        </w:tc>
      </w:tr>
      <w:tr w:rsidR="00233F1E" w14:paraId="2964D050" w14:textId="77777777">
        <w:trPr>
          <w:cantSplit/>
          <w:trHeight w:val="300"/>
        </w:trPr>
        <w:tc>
          <w:tcPr>
            <w:tcW w:w="4412" w:type="dxa"/>
          </w:tcPr>
          <w:p w14:paraId="0F4A231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Comorbidities at incidence</w:t>
            </w:r>
          </w:p>
        </w:tc>
        <w:tc>
          <w:tcPr>
            <w:tcW w:w="5554" w:type="dxa"/>
          </w:tcPr>
          <w:p w14:paraId="2A30B38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7402BF46" w14:textId="77777777">
        <w:trPr>
          <w:cantSplit/>
          <w:trHeight w:val="300"/>
        </w:trPr>
        <w:tc>
          <w:tcPr>
            <w:tcW w:w="4412" w:type="dxa"/>
          </w:tcPr>
          <w:p w14:paraId="1B98475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Heart disease</w:t>
            </w:r>
          </w:p>
        </w:tc>
        <w:tc>
          <w:tcPr>
            <w:tcW w:w="5554" w:type="dxa"/>
          </w:tcPr>
          <w:p w14:paraId="3BF6540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5CDDB51E" w14:textId="77777777">
        <w:trPr>
          <w:cantSplit/>
          <w:trHeight w:val="300"/>
        </w:trPr>
        <w:tc>
          <w:tcPr>
            <w:tcW w:w="4412" w:type="dxa"/>
          </w:tcPr>
          <w:p w14:paraId="2870D0C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Other cardiac disease</w:t>
            </w:r>
          </w:p>
        </w:tc>
        <w:tc>
          <w:tcPr>
            <w:tcW w:w="5554" w:type="dxa"/>
          </w:tcPr>
          <w:p w14:paraId="0B05140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14E05230" w14:textId="77777777">
        <w:trPr>
          <w:cantSplit/>
          <w:trHeight w:val="300"/>
        </w:trPr>
        <w:tc>
          <w:tcPr>
            <w:tcW w:w="4412" w:type="dxa"/>
          </w:tcPr>
          <w:p w14:paraId="407A2DA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Congestive heart failure</w:t>
            </w:r>
          </w:p>
        </w:tc>
        <w:tc>
          <w:tcPr>
            <w:tcW w:w="5554" w:type="dxa"/>
          </w:tcPr>
          <w:p w14:paraId="2A36D6E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6F041A2A" w14:textId="77777777">
        <w:trPr>
          <w:cantSplit/>
          <w:trHeight w:val="300"/>
        </w:trPr>
        <w:tc>
          <w:tcPr>
            <w:tcW w:w="4412" w:type="dxa"/>
          </w:tcPr>
          <w:p w14:paraId="7CBDBA3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Chronic obstruction pulmonary disease</w:t>
            </w:r>
          </w:p>
        </w:tc>
        <w:tc>
          <w:tcPr>
            <w:tcW w:w="5554" w:type="dxa"/>
          </w:tcPr>
          <w:p w14:paraId="159E252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2A1482B7" w14:textId="77777777">
        <w:trPr>
          <w:cantSplit/>
          <w:trHeight w:val="300"/>
        </w:trPr>
        <w:tc>
          <w:tcPr>
            <w:tcW w:w="4412" w:type="dxa"/>
          </w:tcPr>
          <w:p w14:paraId="0B6CA4A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Inability to ambulate</w:t>
            </w:r>
          </w:p>
        </w:tc>
        <w:tc>
          <w:tcPr>
            <w:tcW w:w="5554" w:type="dxa"/>
          </w:tcPr>
          <w:p w14:paraId="61F5B45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6C258136" w14:textId="77777777">
        <w:trPr>
          <w:cantSplit/>
          <w:trHeight w:val="300"/>
        </w:trPr>
        <w:tc>
          <w:tcPr>
            <w:tcW w:w="4412" w:type="dxa"/>
          </w:tcPr>
          <w:p w14:paraId="6FE76BC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Inability to transfer</w:t>
            </w:r>
          </w:p>
        </w:tc>
        <w:tc>
          <w:tcPr>
            <w:tcW w:w="5554" w:type="dxa"/>
          </w:tcPr>
          <w:p w14:paraId="1C1EFEE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05381C60" w14:textId="77777777">
        <w:trPr>
          <w:cantSplit/>
          <w:trHeight w:val="300"/>
        </w:trPr>
        <w:tc>
          <w:tcPr>
            <w:tcW w:w="4412" w:type="dxa"/>
          </w:tcPr>
          <w:p w14:paraId="75DAF5A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Cancer</w:t>
            </w:r>
          </w:p>
        </w:tc>
        <w:tc>
          <w:tcPr>
            <w:tcW w:w="5554" w:type="dxa"/>
          </w:tcPr>
          <w:p w14:paraId="6C0E8CB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18D01C39" w14:textId="77777777">
        <w:trPr>
          <w:cantSplit/>
          <w:trHeight w:val="300"/>
        </w:trPr>
        <w:tc>
          <w:tcPr>
            <w:tcW w:w="4412" w:type="dxa"/>
          </w:tcPr>
          <w:p w14:paraId="54A539A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Peripheral vascular disease</w:t>
            </w:r>
          </w:p>
        </w:tc>
        <w:tc>
          <w:tcPr>
            <w:tcW w:w="5554" w:type="dxa"/>
          </w:tcPr>
          <w:p w14:paraId="61A1D75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3BEA292E" w14:textId="77777777">
        <w:trPr>
          <w:cantSplit/>
          <w:trHeight w:val="300"/>
        </w:trPr>
        <w:tc>
          <w:tcPr>
            <w:tcW w:w="4412" w:type="dxa"/>
          </w:tcPr>
          <w:p w14:paraId="02D77FD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Cerebrovascular disease</w:t>
            </w:r>
          </w:p>
        </w:tc>
        <w:tc>
          <w:tcPr>
            <w:tcW w:w="5554" w:type="dxa"/>
          </w:tcPr>
          <w:p w14:paraId="2050196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45984AE9" w14:textId="77777777">
        <w:trPr>
          <w:cantSplit/>
          <w:trHeight w:val="300"/>
        </w:trPr>
        <w:tc>
          <w:tcPr>
            <w:tcW w:w="4412" w:type="dxa"/>
          </w:tcPr>
          <w:p w14:paraId="213AA81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Tobacco use</w:t>
            </w:r>
          </w:p>
        </w:tc>
        <w:tc>
          <w:tcPr>
            <w:tcW w:w="5554" w:type="dxa"/>
          </w:tcPr>
          <w:p w14:paraId="6250820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67F4DBD5" w14:textId="77777777">
        <w:trPr>
          <w:cantSplit/>
          <w:trHeight w:val="300"/>
        </w:trPr>
        <w:tc>
          <w:tcPr>
            <w:tcW w:w="4412" w:type="dxa"/>
          </w:tcPr>
          <w:p w14:paraId="7E7EB1B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Drug use</w:t>
            </w:r>
          </w:p>
        </w:tc>
        <w:tc>
          <w:tcPr>
            <w:tcW w:w="5554" w:type="dxa"/>
          </w:tcPr>
          <w:p w14:paraId="5D74E15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0B1259C5" w14:textId="77777777">
        <w:trPr>
          <w:cantSplit/>
          <w:trHeight w:val="300"/>
        </w:trPr>
        <w:tc>
          <w:tcPr>
            <w:tcW w:w="4412" w:type="dxa"/>
          </w:tcPr>
          <w:p w14:paraId="37A25A7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Diabetes, non-primary</w:t>
            </w:r>
          </w:p>
        </w:tc>
        <w:tc>
          <w:tcPr>
            <w:tcW w:w="5554" w:type="dxa"/>
          </w:tcPr>
          <w:p w14:paraId="6A744F4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03B4BE16" w14:textId="77777777">
        <w:trPr>
          <w:cantSplit/>
          <w:trHeight w:val="300"/>
        </w:trPr>
        <w:tc>
          <w:tcPr>
            <w:tcW w:w="4412" w:type="dxa"/>
          </w:tcPr>
          <w:p w14:paraId="5A0AA18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At least one incident comorbidity listed</w:t>
            </w:r>
          </w:p>
        </w:tc>
        <w:tc>
          <w:tcPr>
            <w:tcW w:w="5554" w:type="dxa"/>
          </w:tcPr>
          <w:p w14:paraId="64E36C0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57C77CDD" w14:textId="77777777">
        <w:trPr>
          <w:cantSplit/>
          <w:trHeight w:val="300"/>
        </w:trPr>
        <w:tc>
          <w:tcPr>
            <w:tcW w:w="4412" w:type="dxa"/>
          </w:tcPr>
          <w:p w14:paraId="47ED0E8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 Medical Evidence (CMS-2728 Form)</w:t>
            </w:r>
          </w:p>
        </w:tc>
        <w:tc>
          <w:tcPr>
            <w:tcW w:w="5554" w:type="dxa"/>
          </w:tcPr>
          <w:p w14:paraId="6C536E9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r w:rsidR="00233F1E" w14:paraId="4840988F" w14:textId="77777777">
        <w:trPr>
          <w:cantSplit/>
          <w:trHeight w:val="300"/>
        </w:trPr>
        <w:tc>
          <w:tcPr>
            <w:tcW w:w="4412" w:type="dxa"/>
          </w:tcPr>
          <w:p w14:paraId="1B0DFFA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Prevalent comorbidities</w:t>
            </w:r>
          </w:p>
        </w:tc>
        <w:tc>
          <w:tcPr>
            <w:tcW w:w="5554" w:type="dxa"/>
          </w:tcPr>
          <w:p w14:paraId="0314990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 set of prevalent comorbidities based on either Medicare inpatient or outpatient claims (individual comorbidities categorized into 64 categories)</w:t>
            </w:r>
          </w:p>
        </w:tc>
      </w:tr>
      <w:tr w:rsidR="00233F1E" w14:paraId="2D9810B1" w14:textId="77777777">
        <w:trPr>
          <w:cantSplit/>
          <w:trHeight w:val="300"/>
        </w:trPr>
        <w:tc>
          <w:tcPr>
            <w:tcW w:w="4412" w:type="dxa"/>
          </w:tcPr>
          <w:p w14:paraId="7129840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At least 6 months of Medicare Coverage in prior year</w:t>
            </w:r>
          </w:p>
        </w:tc>
        <w:tc>
          <w:tcPr>
            <w:tcW w:w="5554" w:type="dxa"/>
          </w:tcPr>
          <w:p w14:paraId="60BC29A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r>
    </w:tbl>
    <w:p w14:paraId="3DC52247"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9: </w:t>
      </w:r>
      <w:r>
        <w:rPr>
          <w:rFonts w:ascii="Calibri" w:eastAsia="Calibri" w:hAnsi="Calibri" w:cs="Calibri"/>
          <w:color w:val="000000"/>
          <w:sz w:val="22"/>
        </w:rPr>
        <w:t>Patient characteristics included in the model as covariate variables and the data source.</w:t>
      </w:r>
    </w:p>
    <w:p w14:paraId="4EC0DEAD"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*Cell intentionally left blank.</w:t>
      </w:r>
    </w:p>
    <w:p w14:paraId="582B675E"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xml:space="preserve">The event was defined as waitlisting or living-donor transplantation. Patients were followed until waitlisting, living donor transplantation, death, or the end of the follow-up period. A two-stage Cox model was fitted to </w:t>
      </w:r>
      <w:r>
        <w:rPr>
          <w:rFonts w:ascii="Calibri" w:eastAsia="Calibri" w:hAnsi="Calibri" w:cs="Calibri"/>
          <w:color w:val="000000"/>
          <w:sz w:val="22"/>
        </w:rPr>
        <w:lastRenderedPageBreak/>
        <w:t>calculate the expected number of events. At the first stage, a Cox model stratified on dialysis practitioner group practices was fitted in order to obtain an estimate of the patient age, incident and prevalent comorbidities, previous waitlisting and transplant, dual eligibility, Area Deprivation Index (ADI), and transplant center characteristics (unconfounded by dialysis practitioner group practices) to be used as an offset. At the second stage, a national average baseline hazard was estimated. The national average baseline (from the second stage), patient age, incident and prevalent comorbidities, previous waitlisting and transplant, dual eligibility, Area Deprivation Index (ADI), and transplant center characteristics (from the first stage) were then used to compute the probability of an event for each patient, followed by the total expected number of events at each dialysis practitioner group practice.</w:t>
      </w:r>
    </w:p>
    <w:p w14:paraId="142956CB"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Let p denote the number of adjustment variables in the model and </w:t>
      </w:r>
      <m:oMath>
        <m:sSub>
          <m:sSubPr>
            <m:ctrlPr>
              <w:rPr>
                <w:rFonts w:ascii="Cambria Math" w:hAnsi="Cambria Math"/>
              </w:rPr>
            </m:ctrlPr>
          </m:sSubPr>
          <m:e>
            <m:r>
              <w:rPr>
                <w:rFonts w:ascii="Cambria Math" w:eastAsia="Cambria Math" w:hAnsi="Cambria Math" w:cs="Cambria Math"/>
              </w:rPr>
              <m:t>x</m:t>
            </m:r>
          </m:e>
          <m:sub>
            <m:r>
              <w:rPr>
                <w:rFonts w:ascii="Cambria Math" w:eastAsia="Cambria Math" w:hAnsi="Cambria Math" w:cs="Cambria Math"/>
              </w:rPr>
              <m:t>ij</m:t>
            </m:r>
          </m:sub>
        </m:sSub>
      </m:oMath>
      <w:r>
        <w:rPr>
          <w:rFonts w:ascii="Calibri" w:eastAsia="Calibri" w:hAnsi="Calibri" w:cs="Calibri"/>
          <w:color w:val="000000"/>
          <w:sz w:val="22"/>
        </w:rPr>
        <w:t> be the specific value of the </w:t>
      </w:r>
      <m:oMath>
        <m:sSup>
          <m:sSupPr>
            <m:ctrlPr>
              <w:rPr>
                <w:rFonts w:ascii="Cambria Math" w:hAnsi="Cambria Math"/>
              </w:rPr>
            </m:ctrlPr>
          </m:sSupPr>
          <m:e>
            <m:r>
              <w:rPr>
                <w:rFonts w:ascii="Cambria Math" w:eastAsia="Cambria Math" w:hAnsi="Cambria Math" w:cs="Cambria Math"/>
              </w:rPr>
              <m:t>j</m:t>
            </m:r>
          </m:e>
          <m:sup>
            <m:r>
              <w:rPr>
                <w:rFonts w:ascii="Cambria Math" w:eastAsia="Cambria Math" w:hAnsi="Cambria Math" w:cs="Cambria Math"/>
              </w:rPr>
              <m:t>th</m:t>
            </m:r>
          </m:sup>
        </m:sSup>
      </m:oMath>
      <w:r>
        <w:rPr>
          <w:rFonts w:ascii="Calibri" w:eastAsia="Calibri" w:hAnsi="Calibri" w:cs="Calibri"/>
          <w:color w:val="000000"/>
          <w:sz w:val="22"/>
        </w:rPr>
        <w:t>characteristic for the </w:t>
      </w:r>
      <m:oMath>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th</m:t>
            </m:r>
          </m:sup>
        </m:sSup>
      </m:oMath>
      <w:r>
        <w:rPr>
          <w:rFonts w:ascii="Calibri" w:eastAsia="Calibri" w:hAnsi="Calibri" w:cs="Calibri"/>
          <w:color w:val="000000"/>
          <w:sz w:val="22"/>
        </w:rPr>
        <w:t xml:space="preserve">patient-record. At the first stage, for patient-record </w:t>
      </w:r>
      <w:r>
        <w:rPr>
          <w:rFonts w:ascii="Calibri" w:eastAsia="Calibri" w:hAnsi="Calibri" w:cs="Calibri"/>
          <w:i/>
          <w:iCs/>
          <w:color w:val="000000"/>
          <w:sz w:val="22"/>
        </w:rPr>
        <w:t>i</w:t>
      </w:r>
      <w:r>
        <w:rPr>
          <w:rFonts w:ascii="Calibri" w:eastAsia="Calibri" w:hAnsi="Calibri" w:cs="Calibri"/>
          <w:color w:val="000000"/>
          <w:sz w:val="22"/>
        </w:rPr>
        <w:t>, we denote the measured characteristics or covariates as</w:t>
      </w:r>
    </w:p>
    <w:p w14:paraId="10F374D4" w14:textId="77777777" w:rsidR="00A77B3E" w:rsidRDefault="00000000">
      <w:pPr>
        <w:spacing w:after="240"/>
        <w:ind w:left="-360"/>
        <w:jc w:val="center"/>
        <w:rPr>
          <w:rFonts w:ascii="Calibri" w:eastAsia="Calibri" w:hAnsi="Calibri" w:cs="Calibri"/>
          <w:color w:val="000000"/>
          <w:sz w:val="22"/>
        </w:rPr>
      </w:pPr>
      <w:r>
        <w:rPr>
          <w:rFonts w:ascii="Calibri" w:eastAsia="Calibri" w:hAnsi="Calibri" w:cs="Calibri"/>
          <w:b/>
          <w:bCs/>
          <w:color w:val="000000"/>
          <w:sz w:val="22"/>
        </w:rPr>
        <w:t>X</w:t>
      </w:r>
      <w:r>
        <w:rPr>
          <w:rFonts w:ascii="Calibri" w:eastAsia="Calibri" w:hAnsi="Calibri" w:cs="Calibri"/>
          <w:color w:val="000000"/>
          <w:sz w:val="22"/>
          <w:vertAlign w:val="subscript"/>
        </w:rPr>
        <w:t>i</w:t>
      </w:r>
      <w:r>
        <w:rPr>
          <w:rFonts w:ascii="Calibri" w:eastAsia="Calibri" w:hAnsi="Calibri" w:cs="Calibri"/>
          <w:b/>
          <w:bCs/>
          <w:color w:val="000000"/>
          <w:sz w:val="22"/>
        </w:rPr>
        <w:t> </w:t>
      </w:r>
      <w:r>
        <w:rPr>
          <w:rFonts w:ascii="Calibri" w:eastAsia="Calibri" w:hAnsi="Calibri" w:cs="Calibri"/>
          <w:color w:val="000000"/>
          <w:sz w:val="22"/>
        </w:rPr>
        <w:t>= (x</w:t>
      </w:r>
      <w:r>
        <w:rPr>
          <w:rFonts w:ascii="Calibri" w:eastAsia="Calibri" w:hAnsi="Calibri" w:cs="Calibri"/>
          <w:color w:val="000000"/>
          <w:sz w:val="22"/>
          <w:vertAlign w:val="subscript"/>
        </w:rPr>
        <w:t>i1</w:t>
      </w:r>
      <w:r>
        <w:rPr>
          <w:rFonts w:ascii="Calibri" w:eastAsia="Calibri" w:hAnsi="Calibri" w:cs="Calibri"/>
          <w:color w:val="000000"/>
          <w:sz w:val="22"/>
        </w:rPr>
        <w:t>, x</w:t>
      </w:r>
      <w:r>
        <w:rPr>
          <w:rFonts w:ascii="Calibri" w:eastAsia="Calibri" w:hAnsi="Calibri" w:cs="Calibri"/>
          <w:color w:val="000000"/>
          <w:sz w:val="22"/>
          <w:vertAlign w:val="subscript"/>
        </w:rPr>
        <w:t> i2</w:t>
      </w:r>
      <w:r>
        <w:rPr>
          <w:rFonts w:ascii="Calibri" w:eastAsia="Calibri" w:hAnsi="Calibri" w:cs="Calibri"/>
          <w:color w:val="000000"/>
          <w:sz w:val="22"/>
        </w:rPr>
        <w:t xml:space="preserve">, ... , </w:t>
      </w:r>
      <w:proofErr w:type="spellStart"/>
      <w:r>
        <w:rPr>
          <w:rFonts w:ascii="Calibri" w:eastAsia="Calibri" w:hAnsi="Calibri" w:cs="Calibri"/>
          <w:color w:val="000000"/>
          <w:sz w:val="22"/>
        </w:rPr>
        <w:t>x</w:t>
      </w:r>
      <w:r>
        <w:rPr>
          <w:rFonts w:ascii="Calibri" w:eastAsia="Calibri" w:hAnsi="Calibri" w:cs="Calibri"/>
          <w:color w:val="000000"/>
          <w:sz w:val="22"/>
          <w:vertAlign w:val="subscript"/>
        </w:rPr>
        <w:t>ip</w:t>
      </w:r>
      <w:proofErr w:type="spellEnd"/>
      <w:r>
        <w:rPr>
          <w:rFonts w:ascii="Calibri" w:eastAsia="Calibri" w:hAnsi="Calibri" w:cs="Calibri"/>
          <w:color w:val="000000"/>
          <w:sz w:val="22"/>
        </w:rPr>
        <w:t>),</w:t>
      </w:r>
    </w:p>
    <w:p w14:paraId="66D59CA4"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and use this to define the regression portion of a Cox model in which dialysis practitioner group practices define the strata. Note that for a categorical characteristic, the x</w:t>
      </w:r>
      <w:r>
        <w:rPr>
          <w:rFonts w:ascii="Calibri" w:eastAsia="Calibri" w:hAnsi="Calibri" w:cs="Calibri"/>
          <w:color w:val="000000"/>
          <w:sz w:val="22"/>
          <w:vertAlign w:val="subscript"/>
        </w:rPr>
        <w:t> </w:t>
      </w:r>
      <w:proofErr w:type="spellStart"/>
      <w:r>
        <w:rPr>
          <w:rFonts w:ascii="Calibri" w:eastAsia="Calibri" w:hAnsi="Calibri" w:cs="Calibri"/>
          <w:color w:val="000000"/>
          <w:sz w:val="22"/>
          <w:vertAlign w:val="subscript"/>
        </w:rPr>
        <w:t>ij</w:t>
      </w:r>
      <w:proofErr w:type="spellEnd"/>
      <w:r>
        <w:rPr>
          <w:rFonts w:ascii="Calibri" w:eastAsia="Calibri" w:hAnsi="Calibri" w:cs="Calibri"/>
          <w:color w:val="000000"/>
          <w:sz w:val="22"/>
        </w:rPr>
        <w:t xml:space="preserve"> value is 1 if the patient falls into the category and 0 otherwise. The output of the first stage is a set of regression coefficients, ß</w:t>
      </w:r>
      <w:r>
        <w:rPr>
          <w:rFonts w:ascii="Calibri" w:eastAsia="Calibri" w:hAnsi="Calibri" w:cs="Calibri"/>
          <w:color w:val="000000"/>
          <w:sz w:val="22"/>
          <w:vertAlign w:val="subscript"/>
        </w:rPr>
        <w:t>1</w:t>
      </w:r>
      <w:r>
        <w:rPr>
          <w:rFonts w:ascii="Calibri" w:eastAsia="Calibri" w:hAnsi="Calibri" w:cs="Calibri"/>
          <w:color w:val="000000"/>
          <w:sz w:val="22"/>
        </w:rPr>
        <w:t>, ß</w:t>
      </w:r>
      <w:r>
        <w:rPr>
          <w:rFonts w:ascii="Calibri" w:eastAsia="Calibri" w:hAnsi="Calibri" w:cs="Calibri"/>
          <w:color w:val="000000"/>
          <w:sz w:val="22"/>
          <w:vertAlign w:val="subscript"/>
        </w:rPr>
        <w:t>2</w:t>
      </w:r>
      <w:r>
        <w:rPr>
          <w:rFonts w:ascii="Calibri" w:eastAsia="Calibri" w:hAnsi="Calibri" w:cs="Calibri"/>
          <w:color w:val="000000"/>
          <w:sz w:val="22"/>
        </w:rPr>
        <w:t xml:space="preserve">, …, </w:t>
      </w:r>
      <w:proofErr w:type="spellStart"/>
      <w:r>
        <w:rPr>
          <w:rFonts w:ascii="Calibri" w:eastAsia="Calibri" w:hAnsi="Calibri" w:cs="Calibri"/>
          <w:color w:val="000000"/>
          <w:sz w:val="22"/>
        </w:rPr>
        <w:t>ß</w:t>
      </w:r>
      <w:r>
        <w:rPr>
          <w:rFonts w:ascii="Calibri" w:eastAsia="Calibri" w:hAnsi="Calibri" w:cs="Calibri"/>
          <w:color w:val="000000"/>
          <w:sz w:val="22"/>
          <w:vertAlign w:val="subscript"/>
        </w:rPr>
        <w:t>p</w:t>
      </w:r>
      <w:proofErr w:type="spellEnd"/>
      <w:r>
        <w:rPr>
          <w:rFonts w:ascii="Calibri" w:eastAsia="Calibri" w:hAnsi="Calibri" w:cs="Calibri"/>
          <w:color w:val="000000"/>
          <w:sz w:val="22"/>
        </w:rPr>
        <w:t xml:space="preserve"> and the corresponding predicted value for the </w:t>
      </w:r>
      <m:oMath>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th</m:t>
            </m:r>
          </m:sup>
        </m:sSup>
      </m:oMath>
      <w:r>
        <w:rPr>
          <w:rFonts w:ascii="Calibri" w:eastAsia="Calibri" w:hAnsi="Calibri" w:cs="Calibri"/>
          <w:color w:val="000000"/>
          <w:sz w:val="22"/>
        </w:rPr>
        <w:t> patient-record is given by</w:t>
      </w:r>
    </w:p>
    <w:p w14:paraId="2BE71F30"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w:t>
      </w:r>
      <w:proofErr w:type="spellStart"/>
      <w:r>
        <w:rPr>
          <w:rFonts w:ascii="Calibri" w:eastAsia="Calibri" w:hAnsi="Calibri" w:cs="Calibri"/>
          <w:color w:val="000000"/>
          <w:sz w:val="22"/>
        </w:rPr>
        <w:t>X</w:t>
      </w:r>
      <w:r>
        <w:rPr>
          <w:rFonts w:ascii="Calibri" w:eastAsia="Calibri" w:hAnsi="Calibri" w:cs="Calibri"/>
          <w:color w:val="000000"/>
          <w:sz w:val="22"/>
          <w:vertAlign w:val="subscript"/>
        </w:rPr>
        <w:t>i</w:t>
      </w:r>
      <w:r>
        <w:rPr>
          <w:rFonts w:ascii="Calibri" w:eastAsia="Calibri" w:hAnsi="Calibri" w:cs="Calibri"/>
          <w:color w:val="000000"/>
          <w:sz w:val="22"/>
        </w:rPr>
        <w:t>ß</w:t>
      </w:r>
      <w:proofErr w:type="spellEnd"/>
      <w:r>
        <w:rPr>
          <w:rFonts w:ascii="Calibri" w:eastAsia="Calibri" w:hAnsi="Calibri" w:cs="Calibri"/>
          <w:color w:val="000000"/>
          <w:sz w:val="22"/>
        </w:rPr>
        <w:t xml:space="preserve"> = ß</w:t>
      </w:r>
      <w:r>
        <w:rPr>
          <w:rFonts w:ascii="Calibri" w:eastAsia="Calibri" w:hAnsi="Calibri" w:cs="Calibri"/>
          <w:color w:val="000000"/>
          <w:sz w:val="22"/>
          <w:vertAlign w:val="subscript"/>
        </w:rPr>
        <w:t>1</w:t>
      </w:r>
      <w:r>
        <w:rPr>
          <w:rFonts w:ascii="Calibri" w:eastAsia="Calibri" w:hAnsi="Calibri" w:cs="Calibri"/>
          <w:color w:val="000000"/>
          <w:sz w:val="22"/>
        </w:rPr>
        <w:t>x</w:t>
      </w:r>
      <w:r>
        <w:rPr>
          <w:rFonts w:ascii="Calibri" w:eastAsia="Calibri" w:hAnsi="Calibri" w:cs="Calibri"/>
          <w:color w:val="000000"/>
          <w:sz w:val="22"/>
          <w:vertAlign w:val="subscript"/>
        </w:rPr>
        <w:t>i1</w:t>
      </w:r>
      <w:r>
        <w:rPr>
          <w:rFonts w:ascii="Calibri" w:eastAsia="Calibri" w:hAnsi="Calibri" w:cs="Calibri"/>
          <w:color w:val="000000"/>
          <w:sz w:val="22"/>
        </w:rPr>
        <w:t xml:space="preserve"> + ß</w:t>
      </w:r>
      <w:r>
        <w:rPr>
          <w:rFonts w:ascii="Calibri" w:eastAsia="Calibri" w:hAnsi="Calibri" w:cs="Calibri"/>
          <w:color w:val="000000"/>
          <w:sz w:val="22"/>
          <w:vertAlign w:val="subscript"/>
        </w:rPr>
        <w:t>2</w:t>
      </w:r>
      <w:r>
        <w:rPr>
          <w:rFonts w:ascii="Calibri" w:eastAsia="Calibri" w:hAnsi="Calibri" w:cs="Calibri"/>
          <w:color w:val="000000"/>
          <w:sz w:val="22"/>
        </w:rPr>
        <w:t>x</w:t>
      </w:r>
      <w:r>
        <w:rPr>
          <w:rFonts w:ascii="Calibri" w:eastAsia="Calibri" w:hAnsi="Calibri" w:cs="Calibri"/>
          <w:color w:val="000000"/>
          <w:sz w:val="22"/>
          <w:vertAlign w:val="subscript"/>
        </w:rPr>
        <w:t>i2</w:t>
      </w:r>
      <w:r>
        <w:rPr>
          <w:rFonts w:ascii="Calibri" w:eastAsia="Calibri" w:hAnsi="Calibri" w:cs="Calibri"/>
          <w:color w:val="000000"/>
          <w:sz w:val="22"/>
        </w:rPr>
        <w:t xml:space="preserve">+ ... + </w:t>
      </w:r>
      <w:proofErr w:type="spellStart"/>
      <w:r>
        <w:rPr>
          <w:rFonts w:ascii="Calibri" w:eastAsia="Calibri" w:hAnsi="Calibri" w:cs="Calibri"/>
          <w:color w:val="000000"/>
          <w:sz w:val="22"/>
        </w:rPr>
        <w:t>ß</w:t>
      </w:r>
      <w:r>
        <w:rPr>
          <w:rFonts w:ascii="Calibri" w:eastAsia="Calibri" w:hAnsi="Calibri" w:cs="Calibri"/>
          <w:color w:val="000000"/>
          <w:sz w:val="22"/>
          <w:vertAlign w:val="subscript"/>
        </w:rPr>
        <w:t>p</w:t>
      </w:r>
      <w:r>
        <w:rPr>
          <w:rFonts w:ascii="Calibri" w:eastAsia="Calibri" w:hAnsi="Calibri" w:cs="Calibri"/>
          <w:color w:val="000000"/>
          <w:sz w:val="22"/>
        </w:rPr>
        <w:t>x</w:t>
      </w:r>
      <w:r>
        <w:rPr>
          <w:rFonts w:ascii="Calibri" w:eastAsia="Calibri" w:hAnsi="Calibri" w:cs="Calibri"/>
          <w:color w:val="000000"/>
          <w:sz w:val="22"/>
          <w:vertAlign w:val="subscript"/>
        </w:rPr>
        <w:t>ip</w:t>
      </w:r>
      <w:proofErr w:type="spellEnd"/>
      <w:r>
        <w:rPr>
          <w:rFonts w:ascii="Calibri" w:eastAsia="Calibri" w:hAnsi="Calibri" w:cs="Calibri"/>
          <w:color w:val="000000"/>
          <w:sz w:val="22"/>
        </w:rPr>
        <w:t>.  (1)</w:t>
      </w:r>
    </w:p>
    <w:p w14:paraId="5CA44595"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At the second stage, the relative risk estimates from the first stage were used as an offset, without stratification. After the second stage, the linear prediction is</w:t>
      </w:r>
    </w:p>
    <w:p w14:paraId="250E5A78"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A</w:t>
      </w:r>
      <w:r>
        <w:rPr>
          <w:rFonts w:ascii="Calibri" w:eastAsia="Calibri" w:hAnsi="Calibri" w:cs="Calibri"/>
          <w:color w:val="000000"/>
          <w:sz w:val="22"/>
          <w:vertAlign w:val="subscript"/>
        </w:rPr>
        <w:t>i</w:t>
      </w:r>
      <w:r>
        <w:rPr>
          <w:rFonts w:ascii="Calibri" w:eastAsia="Calibri" w:hAnsi="Calibri" w:cs="Calibri"/>
          <w:color w:val="000000"/>
          <w:sz w:val="22"/>
        </w:rPr>
        <w:t xml:space="preserve"> = ß</w:t>
      </w:r>
      <w:r>
        <w:rPr>
          <w:rFonts w:ascii="Calibri" w:eastAsia="Calibri" w:hAnsi="Calibri" w:cs="Calibri"/>
          <w:color w:val="000000"/>
          <w:sz w:val="22"/>
          <w:vertAlign w:val="subscript"/>
        </w:rPr>
        <w:t>0</w:t>
      </w:r>
      <w:r>
        <w:rPr>
          <w:rFonts w:ascii="Calibri" w:eastAsia="Calibri" w:hAnsi="Calibri" w:cs="Calibri"/>
          <w:color w:val="000000"/>
          <w:sz w:val="22"/>
        </w:rPr>
        <w:t>x</w:t>
      </w:r>
      <w:r>
        <w:rPr>
          <w:rFonts w:ascii="Calibri" w:eastAsia="Calibri" w:hAnsi="Calibri" w:cs="Calibri"/>
          <w:color w:val="000000"/>
          <w:sz w:val="22"/>
          <w:vertAlign w:val="subscript"/>
        </w:rPr>
        <w:t>i0</w:t>
      </w:r>
      <w:r>
        <w:rPr>
          <w:rFonts w:ascii="Calibri" w:eastAsia="Calibri" w:hAnsi="Calibri" w:cs="Calibri"/>
          <w:color w:val="000000"/>
          <w:sz w:val="22"/>
        </w:rPr>
        <w:t xml:space="preserve"> + </w:t>
      </w:r>
      <w:proofErr w:type="spellStart"/>
      <w:r>
        <w:rPr>
          <w:rFonts w:ascii="Calibri" w:eastAsia="Calibri" w:hAnsi="Calibri" w:cs="Calibri"/>
          <w:color w:val="000000"/>
          <w:sz w:val="22"/>
        </w:rPr>
        <w:t>X</w:t>
      </w:r>
      <w:r>
        <w:rPr>
          <w:rFonts w:ascii="Calibri" w:eastAsia="Calibri" w:hAnsi="Calibri" w:cs="Calibri"/>
          <w:color w:val="000000"/>
          <w:sz w:val="22"/>
          <w:vertAlign w:val="subscript"/>
        </w:rPr>
        <w:t>i</w:t>
      </w:r>
      <w:r>
        <w:rPr>
          <w:rFonts w:ascii="Calibri" w:eastAsia="Calibri" w:hAnsi="Calibri" w:cs="Calibri"/>
          <w:color w:val="000000"/>
          <w:sz w:val="22"/>
        </w:rPr>
        <w:t>ß</w:t>
      </w:r>
      <w:proofErr w:type="spellEnd"/>
      <w:r>
        <w:rPr>
          <w:rFonts w:ascii="Calibri" w:eastAsia="Calibri" w:hAnsi="Calibri" w:cs="Calibri"/>
          <w:color w:val="000000"/>
          <w:sz w:val="22"/>
        </w:rPr>
        <w:t xml:space="preserve"> = ß</w:t>
      </w:r>
      <w:r>
        <w:rPr>
          <w:rFonts w:ascii="Calibri" w:eastAsia="Calibri" w:hAnsi="Calibri" w:cs="Calibri"/>
          <w:color w:val="000000"/>
          <w:sz w:val="22"/>
          <w:vertAlign w:val="subscript"/>
        </w:rPr>
        <w:t>0</w:t>
      </w:r>
      <w:r>
        <w:rPr>
          <w:rFonts w:ascii="Calibri" w:eastAsia="Calibri" w:hAnsi="Calibri" w:cs="Calibri"/>
          <w:color w:val="000000"/>
          <w:sz w:val="22"/>
        </w:rPr>
        <w:t>x</w:t>
      </w:r>
      <w:r>
        <w:rPr>
          <w:rFonts w:ascii="Calibri" w:eastAsia="Calibri" w:hAnsi="Calibri" w:cs="Calibri"/>
          <w:color w:val="000000"/>
          <w:sz w:val="22"/>
          <w:vertAlign w:val="subscript"/>
        </w:rPr>
        <w:t>i0</w:t>
      </w:r>
      <w:r>
        <w:rPr>
          <w:rFonts w:ascii="Calibri" w:eastAsia="Calibri" w:hAnsi="Calibri" w:cs="Calibri"/>
          <w:color w:val="000000"/>
          <w:sz w:val="22"/>
        </w:rPr>
        <w:t xml:space="preserve"> + ß</w:t>
      </w:r>
      <w:r>
        <w:rPr>
          <w:rFonts w:ascii="Calibri" w:eastAsia="Calibri" w:hAnsi="Calibri" w:cs="Calibri"/>
          <w:color w:val="000000"/>
          <w:sz w:val="22"/>
          <w:vertAlign w:val="subscript"/>
        </w:rPr>
        <w:t>1</w:t>
      </w:r>
      <w:r>
        <w:rPr>
          <w:rFonts w:ascii="Calibri" w:eastAsia="Calibri" w:hAnsi="Calibri" w:cs="Calibri"/>
          <w:color w:val="000000"/>
          <w:sz w:val="22"/>
        </w:rPr>
        <w:t>x</w:t>
      </w:r>
      <w:r>
        <w:rPr>
          <w:rFonts w:ascii="Calibri" w:eastAsia="Calibri" w:hAnsi="Calibri" w:cs="Calibri"/>
          <w:color w:val="000000"/>
          <w:sz w:val="22"/>
          <w:vertAlign w:val="subscript"/>
        </w:rPr>
        <w:t>i1</w:t>
      </w:r>
      <w:r>
        <w:rPr>
          <w:rFonts w:ascii="Calibri" w:eastAsia="Calibri" w:hAnsi="Calibri" w:cs="Calibri"/>
          <w:color w:val="000000"/>
          <w:sz w:val="22"/>
        </w:rPr>
        <w:t xml:space="preserve"> + ß</w:t>
      </w:r>
      <w:r>
        <w:rPr>
          <w:rFonts w:ascii="Calibri" w:eastAsia="Calibri" w:hAnsi="Calibri" w:cs="Calibri"/>
          <w:color w:val="000000"/>
          <w:sz w:val="22"/>
          <w:vertAlign w:val="subscript"/>
        </w:rPr>
        <w:t>2</w:t>
      </w:r>
      <w:r>
        <w:rPr>
          <w:rFonts w:ascii="Calibri" w:eastAsia="Calibri" w:hAnsi="Calibri" w:cs="Calibri"/>
          <w:color w:val="000000"/>
          <w:sz w:val="22"/>
        </w:rPr>
        <w:t>x</w:t>
      </w:r>
      <w:r>
        <w:rPr>
          <w:rFonts w:ascii="Calibri" w:eastAsia="Calibri" w:hAnsi="Calibri" w:cs="Calibri"/>
          <w:color w:val="000000"/>
          <w:sz w:val="22"/>
          <w:vertAlign w:val="subscript"/>
        </w:rPr>
        <w:t>i2</w:t>
      </w:r>
      <w:r>
        <w:rPr>
          <w:rFonts w:ascii="Calibri" w:eastAsia="Calibri" w:hAnsi="Calibri" w:cs="Calibri"/>
          <w:color w:val="000000"/>
          <w:sz w:val="22"/>
        </w:rPr>
        <w:t xml:space="preserve">+ ... + </w:t>
      </w:r>
      <w:proofErr w:type="spellStart"/>
      <w:r>
        <w:rPr>
          <w:rFonts w:ascii="Calibri" w:eastAsia="Calibri" w:hAnsi="Calibri" w:cs="Calibri"/>
          <w:color w:val="000000"/>
          <w:sz w:val="22"/>
        </w:rPr>
        <w:t>ß</w:t>
      </w:r>
      <w:r>
        <w:rPr>
          <w:rFonts w:ascii="Calibri" w:eastAsia="Calibri" w:hAnsi="Calibri" w:cs="Calibri"/>
          <w:color w:val="000000"/>
          <w:sz w:val="22"/>
          <w:vertAlign w:val="subscript"/>
        </w:rPr>
        <w:t>p</w:t>
      </w:r>
      <w:r>
        <w:rPr>
          <w:rFonts w:ascii="Calibri" w:eastAsia="Calibri" w:hAnsi="Calibri" w:cs="Calibri"/>
          <w:color w:val="000000"/>
          <w:sz w:val="22"/>
        </w:rPr>
        <w:t>x</w:t>
      </w:r>
      <w:r>
        <w:rPr>
          <w:rFonts w:ascii="Calibri" w:eastAsia="Calibri" w:hAnsi="Calibri" w:cs="Calibri"/>
          <w:color w:val="000000"/>
          <w:sz w:val="22"/>
          <w:vertAlign w:val="subscript"/>
        </w:rPr>
        <w:t>ip</w:t>
      </w:r>
      <w:proofErr w:type="spellEnd"/>
      <w:r>
        <w:rPr>
          <w:rFonts w:ascii="Calibri" w:eastAsia="Calibri" w:hAnsi="Calibri" w:cs="Calibri"/>
          <w:color w:val="000000"/>
          <w:sz w:val="22"/>
        </w:rPr>
        <w:t>           (2)</w:t>
      </w:r>
    </w:p>
    <w:p w14:paraId="32B1724E"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xml:space="preserve">To account for patients starting the follow-up period at different dates during the year, left truncation has been implemented using the counting process syntax in the SAS procedure PROC PHREG. Suppose that </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xml:space="preserve"> and </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 xml:space="preserve"> are the starting and end of follow-up time for patient-record i, respectively, so that 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xml:space="preserve">) is the baseline conditional survival probability at time </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 xml:space="preserve"> conditional on that the patient start the follow-up period at time </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The conditional survival probability for this patient-record i at time </w:t>
      </w:r>
      <m:oMath>
        <m:sSub>
          <m:sSubPr>
            <m:ctrlPr>
              <w:rPr>
                <w:rFonts w:ascii="Cambria Math" w:hAnsi="Cambria Math"/>
              </w:rPr>
            </m:ctrlPr>
          </m:sSubPr>
          <m:e>
            <m:r>
              <w:rPr>
                <w:rFonts w:ascii="Cambria Math" w:eastAsia="Cambria Math" w:hAnsi="Cambria Math" w:cs="Cambria Math"/>
              </w:rPr>
              <m:t>t</m:t>
            </m:r>
          </m:e>
          <m:sub>
            <m:r>
              <w:rPr>
                <w:rFonts w:ascii="Cambria Math" w:eastAsia="Cambria Math" w:hAnsi="Cambria Math" w:cs="Cambria Math"/>
              </w:rPr>
              <m:t>iR</m:t>
            </m:r>
          </m:sub>
        </m:sSub>
      </m:oMath>
      <w:r>
        <w:rPr>
          <w:rFonts w:ascii="Calibri" w:eastAsia="Calibri" w:hAnsi="Calibri" w:cs="Calibri"/>
          <w:color w:val="000000"/>
          <w:sz w:val="22"/>
        </w:rPr>
        <w:t> is:</w:t>
      </w:r>
    </w:p>
    <w:p w14:paraId="5C7AE377"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S</w:t>
      </w:r>
      <w:r>
        <w:rPr>
          <w:rFonts w:ascii="Calibri" w:eastAsia="Calibri" w:hAnsi="Calibri" w:cs="Calibri"/>
          <w:color w:val="000000"/>
          <w:sz w:val="22"/>
          <w:vertAlign w:val="subscript"/>
        </w:rPr>
        <w:t>i</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)/S</w:t>
      </w:r>
      <w:r>
        <w:rPr>
          <w:rFonts w:ascii="Calibri" w:eastAsia="Calibri" w:hAnsi="Calibri" w:cs="Calibri"/>
          <w:color w:val="000000"/>
          <w:sz w:val="22"/>
          <w:vertAlign w:val="subscript"/>
        </w:rPr>
        <w:t>i</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 [S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w:t>
      </w:r>
      <w:r>
        <w:rPr>
          <w:rFonts w:ascii="Calibri" w:eastAsia="Calibri" w:hAnsi="Calibri" w:cs="Calibri"/>
          <w:color w:val="000000"/>
          <w:sz w:val="22"/>
          <w:vertAlign w:val="superscript"/>
        </w:rPr>
        <w:t>exp(Ai)</w:t>
      </w:r>
      <w:r>
        <w:rPr>
          <w:rFonts w:ascii="Calibri" w:eastAsia="Calibri" w:hAnsi="Calibri" w:cs="Calibri"/>
          <w:color w:val="000000"/>
          <w:sz w:val="22"/>
        </w:rPr>
        <w:t>.                                       (3)</w:t>
      </w:r>
    </w:p>
    <w:p w14:paraId="717530DB"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xml:space="preserve">The expected number of </w:t>
      </w:r>
      <w:proofErr w:type="spellStart"/>
      <w:r>
        <w:rPr>
          <w:rFonts w:ascii="Calibri" w:eastAsia="Calibri" w:hAnsi="Calibri" w:cs="Calibri"/>
          <w:color w:val="000000"/>
          <w:sz w:val="22"/>
        </w:rPr>
        <w:t>waitlistings</w:t>
      </w:r>
      <w:proofErr w:type="spellEnd"/>
      <w:r>
        <w:rPr>
          <w:rFonts w:ascii="Calibri" w:eastAsia="Calibri" w:hAnsi="Calibri" w:cs="Calibri"/>
          <w:color w:val="000000"/>
          <w:sz w:val="22"/>
        </w:rPr>
        <w:t xml:space="preserve"> for this patient-record during follow-up time from </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xml:space="preserve"> to </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 xml:space="preserve"> arises from considerations in the Cox model and can be written as   </w:t>
      </w:r>
    </w:p>
    <w:p w14:paraId="37E03F97"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-ln(S</w:t>
      </w:r>
      <w:r>
        <w:rPr>
          <w:rFonts w:ascii="Calibri" w:eastAsia="Calibri" w:hAnsi="Calibri" w:cs="Calibri"/>
          <w:color w:val="000000"/>
          <w:sz w:val="22"/>
          <w:vertAlign w:val="subscript"/>
        </w:rPr>
        <w:t>i</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 xml:space="preserve"> )/S</w:t>
      </w:r>
      <w:r>
        <w:rPr>
          <w:rFonts w:ascii="Calibri" w:eastAsia="Calibri" w:hAnsi="Calibri" w:cs="Calibri"/>
          <w:color w:val="000000"/>
          <w:sz w:val="22"/>
          <w:vertAlign w:val="subscript"/>
        </w:rPr>
        <w:t>i</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xml:space="preserve">)) = - </w:t>
      </w:r>
      <w:proofErr w:type="spellStart"/>
      <w:r>
        <w:rPr>
          <w:rFonts w:ascii="Calibri" w:eastAsia="Calibri" w:hAnsi="Calibri" w:cs="Calibri"/>
          <w:color w:val="000000"/>
          <w:sz w:val="22"/>
        </w:rPr>
        <w:t>e</w:t>
      </w:r>
      <w:r>
        <w:rPr>
          <w:rFonts w:ascii="Calibri" w:eastAsia="Calibri" w:hAnsi="Calibri" w:cs="Calibri"/>
          <w:color w:val="000000"/>
          <w:sz w:val="22"/>
          <w:vertAlign w:val="superscript"/>
        </w:rPr>
        <w:t>Ai</w:t>
      </w:r>
      <w:proofErr w:type="spellEnd"/>
      <w:r>
        <w:rPr>
          <w:rFonts w:ascii="Calibri" w:eastAsia="Calibri" w:hAnsi="Calibri" w:cs="Calibri"/>
          <w:color w:val="000000"/>
          <w:sz w:val="22"/>
        </w:rPr>
        <w:t> ln [S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 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(4)</w:t>
      </w:r>
    </w:p>
    <w:p w14:paraId="30F44B6A"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xml:space="preserve">The expected number of </w:t>
      </w:r>
      <w:proofErr w:type="spellStart"/>
      <w:r>
        <w:rPr>
          <w:rFonts w:ascii="Calibri" w:eastAsia="Calibri" w:hAnsi="Calibri" w:cs="Calibri"/>
          <w:color w:val="000000"/>
          <w:sz w:val="22"/>
        </w:rPr>
        <w:t>waitlistings</w:t>
      </w:r>
      <w:proofErr w:type="spellEnd"/>
      <w:r>
        <w:rPr>
          <w:rFonts w:ascii="Calibri" w:eastAsia="Calibri" w:hAnsi="Calibri" w:cs="Calibri"/>
          <w:color w:val="000000"/>
          <w:sz w:val="22"/>
        </w:rPr>
        <w:t xml:space="preserve"> at a given dialysis practitioner group practice can now be computed simply by summing these expected values over the totality of patient-records in that dialysis practitioner group practice. Specifically, the expected value is the sum over the N patient-records at the dialysis practitioner group practices giving</w:t>
      </w:r>
    </w:p>
    <w:p w14:paraId="26FDE6E5" w14:textId="77777777" w:rsidR="00A77B3E" w:rsidRDefault="00000000">
      <w:pPr>
        <w:spacing w:after="240"/>
        <w:ind w:left="-360"/>
        <w:jc w:val="center"/>
        <w:rPr>
          <w:rFonts w:ascii="Calibri" w:eastAsia="Calibri" w:hAnsi="Calibri" w:cs="Calibri"/>
          <w:color w:val="000000"/>
          <w:sz w:val="22"/>
        </w:rPr>
      </w:pPr>
      <w:r>
        <w:rPr>
          <w:rFonts w:ascii="Calibri" w:eastAsia="Calibri" w:hAnsi="Calibri" w:cs="Calibri"/>
          <w:color w:val="000000"/>
          <w:sz w:val="22"/>
        </w:rPr>
        <w:t>E = ∑ -ln[S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 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  -∑ </w:t>
      </w:r>
      <m:oMath>
        <m:sSup>
          <m:sSupPr>
            <m:ctrlPr>
              <w:rPr>
                <w:rFonts w:ascii="Cambria Math" w:hAnsi="Cambria Math"/>
              </w:rPr>
            </m:ctrlPr>
          </m:sSupPr>
          <m:e>
            <m:r>
              <w:rPr>
                <w:rFonts w:ascii="Cambria Math" w:eastAsia="Cambria Math" w:hAnsi="Cambria Math" w:cs="Cambria Math"/>
              </w:rPr>
              <m:t>e</m:t>
            </m:r>
          </m:e>
          <m:sup>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i</m:t>
                </m:r>
              </m:sub>
            </m:sSub>
          </m:sup>
        </m:sSup>
      </m:oMath>
      <w:r>
        <w:rPr>
          <w:rFonts w:ascii="Calibri" w:eastAsia="Calibri" w:hAnsi="Calibri" w:cs="Calibri"/>
          <w:color w:val="000000"/>
          <w:sz w:val="22"/>
        </w:rPr>
        <w:t> ln[S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iR</w:t>
      </w:r>
      <w:proofErr w:type="spellEnd"/>
      <w:r>
        <w:rPr>
          <w:rFonts w:ascii="Calibri" w:eastAsia="Calibri" w:hAnsi="Calibri" w:cs="Calibri"/>
          <w:color w:val="000000"/>
          <w:sz w:val="22"/>
        </w:rPr>
        <w:t>)/ S</w:t>
      </w:r>
      <w:r>
        <w:rPr>
          <w:rFonts w:ascii="Calibri" w:eastAsia="Calibri" w:hAnsi="Calibri" w:cs="Calibri"/>
          <w:color w:val="000000"/>
          <w:sz w:val="22"/>
          <w:vertAlign w:val="subscript"/>
        </w:rPr>
        <w:t>0</w:t>
      </w:r>
      <w:r>
        <w:rPr>
          <w:rFonts w:ascii="Calibri" w:eastAsia="Calibri" w:hAnsi="Calibri" w:cs="Calibri"/>
          <w:color w:val="000000"/>
          <w:sz w:val="22"/>
        </w:rPr>
        <w:t>(</w:t>
      </w:r>
      <w:proofErr w:type="spellStart"/>
      <w:r>
        <w:rPr>
          <w:rFonts w:ascii="Calibri" w:eastAsia="Calibri" w:hAnsi="Calibri" w:cs="Calibri"/>
          <w:color w:val="000000"/>
          <w:sz w:val="22"/>
        </w:rPr>
        <w:t>t</w:t>
      </w:r>
      <w:r>
        <w:rPr>
          <w:rFonts w:ascii="Calibri" w:eastAsia="Calibri" w:hAnsi="Calibri" w:cs="Calibri"/>
          <w:color w:val="000000"/>
          <w:sz w:val="22"/>
          <w:vertAlign w:val="subscript"/>
        </w:rPr>
        <w:t>iL</w:t>
      </w:r>
      <w:proofErr w:type="spellEnd"/>
      <w:r>
        <w:rPr>
          <w:rFonts w:ascii="Calibri" w:eastAsia="Calibri" w:hAnsi="Calibri" w:cs="Calibri"/>
          <w:color w:val="000000"/>
          <w:sz w:val="22"/>
        </w:rPr>
        <w:t>)].        (5)                                             </w:t>
      </w:r>
    </w:p>
    <w:p w14:paraId="758F9A4F"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t> </w:t>
      </w:r>
    </w:p>
    <w:p w14:paraId="211FAE9B" w14:textId="77777777" w:rsidR="00A77B3E" w:rsidRDefault="00000000">
      <w:pPr>
        <w:spacing w:after="240"/>
        <w:ind w:left="-360"/>
        <w:rPr>
          <w:rFonts w:ascii="Calibri" w:eastAsia="Calibri" w:hAnsi="Calibri" w:cs="Calibri"/>
          <w:color w:val="000000"/>
          <w:sz w:val="22"/>
        </w:rPr>
      </w:pPr>
      <w:r>
        <w:rPr>
          <w:rFonts w:ascii="Calibri" w:eastAsia="Calibri" w:hAnsi="Calibri" w:cs="Calibri"/>
          <w:color w:val="000000"/>
          <w:sz w:val="22"/>
        </w:rPr>
        <w:lastRenderedPageBreak/>
        <w:t>Let O be the total number of waitlisting observed at the dialysis practitioner group practice during the total four years follow-up period. As stated above, the PSWR is the ratio of the total number of observed waitlisting to the expected number</w:t>
      </w:r>
    </w:p>
    <w:p w14:paraId="577A24FB" w14:textId="77777777" w:rsidR="00A77B3E" w:rsidRDefault="00000000">
      <w:pPr>
        <w:spacing w:after="240"/>
        <w:ind w:left="-360"/>
        <w:jc w:val="center"/>
        <w:rPr>
          <w:rFonts w:ascii="Calibri" w:eastAsia="Calibri" w:hAnsi="Calibri" w:cs="Calibri"/>
          <w:color w:val="000000"/>
          <w:sz w:val="22"/>
        </w:rPr>
      </w:pPr>
      <w:r>
        <w:rPr>
          <w:rFonts w:ascii="Calibri" w:eastAsia="Calibri" w:hAnsi="Calibri" w:cs="Calibri"/>
          <w:b/>
          <w:bCs/>
          <w:color w:val="000000"/>
          <w:sz w:val="22"/>
        </w:rPr>
        <w:t xml:space="preserve">PSWR = O/E.              </w:t>
      </w:r>
      <w:r>
        <w:rPr>
          <w:rFonts w:ascii="Calibri" w:eastAsia="Calibri" w:hAnsi="Calibri" w:cs="Calibri"/>
          <w:color w:val="000000"/>
          <w:sz w:val="22"/>
        </w:rPr>
        <w:t>(6)</w:t>
      </w:r>
    </w:p>
    <w:p w14:paraId="03E9A5A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p w14:paraId="3583A8F1" w14:textId="77777777" w:rsidR="00A77B3E" w:rsidRDefault="00A77B3E">
      <w:pPr>
        <w:spacing w:after="240"/>
        <w:rPr>
          <w:rFonts w:ascii="Calibri" w:eastAsia="Calibri" w:hAnsi="Calibri" w:cs="Calibri"/>
          <w:color w:val="000000"/>
          <w:sz w:val="22"/>
        </w:rPr>
      </w:pPr>
    </w:p>
    <w:p w14:paraId="16F4F9C6" w14:textId="77777777" w:rsidR="00A77B3E" w:rsidRDefault="00A77B3E">
      <w:pPr>
        <w:spacing w:after="240"/>
        <w:rPr>
          <w:rFonts w:ascii="Calibri" w:eastAsia="Calibri" w:hAnsi="Calibri" w:cs="Calibri"/>
          <w:color w:val="000000"/>
          <w:sz w:val="22"/>
        </w:rPr>
      </w:pPr>
    </w:p>
    <w:p w14:paraId="4F1EDAB3"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2b.21) If an outcome or resource use measure is not risk-adjusted or stratified, provide rationale and analyses to demonstrate that controlling for differences in patient characteristics (i.e., case mix) is not needed to achieve fair comparisons across measured entities.</w:t>
      </w:r>
    </w:p>
    <w:p w14:paraId="6DB8E096" w14:textId="77777777" w:rsidR="00A77B3E" w:rsidRDefault="00A77B3E">
      <w:pPr>
        <w:spacing w:after="240"/>
        <w:rPr>
          <w:rFonts w:ascii="Calibri" w:eastAsia="Calibri" w:hAnsi="Calibri" w:cs="Calibri"/>
          <w:color w:val="000000"/>
          <w:sz w:val="22"/>
        </w:rPr>
      </w:pPr>
    </w:p>
    <w:p w14:paraId="688CD95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2b.22) Select all applicable resources and methods used to develop the conceptual model of how social risk impacts this outcome. </w:t>
      </w:r>
    </w:p>
    <w:p w14:paraId="7E7AF2B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752B64D" wp14:editId="3B289D29">
            <wp:extent cx="126984" cy="126984"/>
            <wp:effectExtent l="0" t="0" r="0" b="0"/>
            <wp:docPr id="100568" name="Picture 100568" descr="Published liter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9"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Published literature  </w:t>
      </w:r>
    </w:p>
    <w:p w14:paraId="4DBF1A7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0220B08" wp14:editId="550E0347">
            <wp:extent cx="126984" cy="126984"/>
            <wp:effectExtent l="0" t="0" r="0" b="0"/>
            <wp:docPr id="100570" name="Picture 100570" descr="Internal data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1"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Internal data analysis  </w:t>
      </w:r>
    </w:p>
    <w:p w14:paraId="3767575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5A09EAD" wp14:editId="4DF40B31">
            <wp:extent cx="126984" cy="126984"/>
            <wp:effectExtent l="0" t="0" r="0" b="0"/>
            <wp:docPr id="100572" name="Picture 100572"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128DA395" w14:textId="77777777" w:rsidR="00A77B3E" w:rsidRDefault="00A77B3E">
      <w:pPr>
        <w:spacing w:after="240"/>
        <w:rPr>
          <w:rFonts w:ascii="Calibri" w:eastAsia="Calibri" w:hAnsi="Calibri" w:cs="Calibri"/>
          <w:color w:val="000000"/>
          <w:sz w:val="22"/>
        </w:rPr>
      </w:pPr>
    </w:p>
    <w:p w14:paraId="5EC946D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2b.23) Describe the conceptual and statistical methods and criteria used to test and select patient-level risk factors (e.g., clinical factors, social risk factors) used in the statistical risk model or for stratification by risk.</w:t>
      </w:r>
    </w:p>
    <w:p w14:paraId="6AAFC3C1"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Please be sure to address the following: potential factors identified in the literature and/or expert panel; regression analysis; statistical significance of p&lt;0.10 or other statistical tests; correlation of x or higher. Patient factors should be present at the start of care, if applicable. Also discuss any “ordering” of risk factor inclusion; note whether social risk factors are added after all clinical factors. Discuss any considerations regarding data sources (e.g., availability, specificity).</w:t>
      </w:r>
    </w:p>
    <w:p w14:paraId="73F5A38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Variables chosen for inclusion in the model were based on a conceptual rationale that included theoretical/clinical considerations (discussed for each set of factors below) and existing literature (see brief list of references including large national or regional datasets, and clinical practice guidelines for kidney transplant candidate evaluation), for factors affecting kidney transplant waitlisting. We considered variables in three categories: social risk, functional risk, and medical/clinical risk. Choices were also discussed with a Technical Expert Panel held in 2021.</w:t>
      </w:r>
    </w:p>
    <w:p w14:paraId="319002E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Social Risk Factors:</w:t>
      </w:r>
    </w:p>
    <w:p w14:paraId="7CCD52F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Under conceptual considerations, and as supported by the TEP, it was deemed important to adjust for social risk on the basis that it could affect suitability for transplant waitlisting. This could occur, for example, through difficulty with ability to pay for transplant immunosuppression medications, or lacking the resources to travel to a transplant center for care, which are considerations taken into account for suitability for transplant waitlisting (the Kidney Disease Improving Global Outcomes [KDIGO] Clinical Practice Guideline on the Evaluation and Management of Candidates for Kidney Transplantation recommends psychosocial assessment and evaluation of adherence). For this purpose, dual Medicare-Medicaid eligibility (at the patient level, representing socioeconomic disadvantage) and Area Deprivation Index (ADI) were investigated and included in our model. Dual eligibility was obtained from Medicare claims and could also be obtained from the CMS-2728 form for incident patients within the first year of ESRD. ADI was obtained based on patient zip code of residence and used as a proxy to adjust for potential differences in waitlisting for neighborhoods of different ranking of socioeconomic disadvantage (see Patzer et al reference below).</w:t>
      </w:r>
    </w:p>
    <w:p w14:paraId="6BF53DF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Functional Risk Factors:</w:t>
      </w:r>
    </w:p>
    <w:p w14:paraId="3A567A4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Given that poor functional status and frailty are associated with worse outcomes following kidney transplantation (see McAdams-Demarco et al, below), patients with low functional status may be less appropriate for waitlisting. We therefore included items available on the CMS Form 2728, indicating whether Assistance with Daily Activities is needed, Inability to transfer, and Inability to ambulate.</w:t>
      </w:r>
    </w:p>
    <w:p w14:paraId="229ED2E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Clinical/Medical Risk Factors:</w:t>
      </w:r>
    </w:p>
    <w:p w14:paraId="420D0C0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Age adjustment was deemed necessary on clinical grounds and supported by the Technical Expert Panel (TEP) held in 2021. Although age alone is not a contraindication to transplantation, older patients are likely to have more comorbidities and be generally more frail thus making them potentially less suitable candidates for transplantation. This may affect waitlisting rates for dialysis provider group practices with a substantially older age composition than the average.</w:t>
      </w:r>
    </w:p>
    <w:p w14:paraId="09945AC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In addition, incident and prevalent comorbidities were selected for adjustment into the PSWR model based on demonstration of a higher associated mortality (hazard ratio above 1.0) and statistical significance (p-value &lt;0.01) in a first year mortality model, thus reflecting patients at higher risk of early mortality and therefore potentially unsuitable for transplant waitlisting. For prevalent comorbidities, we used the Agency for Healthcare Research and Quality (AHRQ) Clinical Classifications Software (CCS) diagnosis categories using Medicare claims. First, we selected comorbidity groupers that were positively and statistically significantly associated with one- year mortality, to again identify conditions associated with early mortality, and therefore potential unsuitability for transplant waitlisting. Then, we included potential candidate conditions that had a prevalence greater or equal to 0.1% in our population to identify a final set of 64 prevalent comorbidities.</w:t>
      </w:r>
    </w:p>
    <w:p w14:paraId="1B6AD75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Finally, the TEP deemed it important to adjust for elements affecting waitlisting that may be partially outside control of dialysis practitioners, such as transplant center behavior. Two transplant center characteristics were chosen for adjustment in the model, including transplant center waitlist mortality rate, and transplant center transplant rate. The former is a reflection in part of transplant center criteria for waitlisting, as centers with more liberal criteria (i.e. less selective) will tend to accept sicker patients and therefore have higher waitlist mortality, whereas centers with more restrictive criteria will tend to have lower waitlist mortality rates. The transplant center transplant rate reflects both local organ availability and center behavior with regards to how quickly they are able to transplant waitlisted </w:t>
      </w:r>
      <w:r>
        <w:rPr>
          <w:rFonts w:ascii="Calibri" w:eastAsia="Calibri" w:hAnsi="Calibri" w:cs="Calibri"/>
          <w:color w:val="000000"/>
          <w:sz w:val="22"/>
        </w:rPr>
        <w:lastRenderedPageBreak/>
        <w:t xml:space="preserve">patients (e.g. by aggressively pursuing living donation). For adjustment in the model, weighted transplant center waitlist mortality ratio and transplant ratio were calculated on each zip code level. Weight of a transplant center was determined by the likelihood of transplant from neighborhood </w:t>
      </w:r>
      <w:proofErr w:type="spellStart"/>
      <w:r>
        <w:rPr>
          <w:rFonts w:ascii="Calibri" w:eastAsia="Calibri" w:hAnsi="Calibri" w:cs="Calibri"/>
          <w:color w:val="000000"/>
          <w:sz w:val="22"/>
        </w:rPr>
        <w:t>waitlising</w:t>
      </w:r>
      <w:proofErr w:type="spellEnd"/>
      <w:r>
        <w:rPr>
          <w:rFonts w:ascii="Calibri" w:eastAsia="Calibri" w:hAnsi="Calibri" w:cs="Calibri"/>
          <w:color w:val="000000"/>
          <w:sz w:val="22"/>
        </w:rPr>
        <w:t xml:space="preserve"> patients. patients </w:t>
      </w:r>
      <w:proofErr w:type="spellStart"/>
      <w:r>
        <w:rPr>
          <w:rFonts w:ascii="Calibri" w:eastAsia="Calibri" w:hAnsi="Calibri" w:cs="Calibri"/>
          <w:color w:val="000000"/>
          <w:sz w:val="22"/>
        </w:rPr>
        <w:t>Patients</w:t>
      </w:r>
      <w:proofErr w:type="spellEnd"/>
      <w:r>
        <w:rPr>
          <w:rFonts w:ascii="Calibri" w:eastAsia="Calibri" w:hAnsi="Calibri" w:cs="Calibri"/>
          <w:color w:val="000000"/>
          <w:sz w:val="22"/>
        </w:rPr>
        <w:t xml:space="preserve"> were  then assigned with to transplant center waitlist mortality ratio and transplant ratio based on historical waitlisting patterns in their zip code of residence matched with the corresponding transplant centers.</w:t>
      </w:r>
    </w:p>
    <w:p w14:paraId="6CD3D8A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References:</w:t>
      </w:r>
    </w:p>
    <w:p w14:paraId="162C6E4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 Jesse D. Schold, Sumit Mohan, Anne Huml, Laura D. Buccini, John R. Sedor, Joshua J. Augustine and Emilio D. Poggio. Failure to Advance Access to Kidney Transplantation over Two Decades in the United States. JASN 2021;32:913</w:t>
      </w:r>
    </w:p>
    <w:p w14:paraId="418F05A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w:t>
      </w:r>
    </w:p>
    <w:p w14:paraId="26D81D6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Background: Extensive research and policies have been developed to improve access to kidney transplantation among patients with ESKD. Despite this, wide variation in transplant referral rates exists between dialysis facilities.</w:t>
      </w:r>
    </w:p>
    <w:p w14:paraId="4BEBB99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Methods: To evaluate the longitudinal pattern of access to kidney transplantation over the past two decades, we conducted a retrospective cohort study of adult patients with ESKD initiating ESKD or placed on a transplant waiting list from 1997 to 2016 in the United States Renal Data System. We used cumulative incidence models accounting for competing risks and multivariable Cox models to evaluate time to waiting list placement or transplantation (WLT) from ESKD onset.</w:t>
      </w:r>
    </w:p>
    <w:p w14:paraId="2D3B241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Results: Among the study population of 1,309,998 adult patients, cumulative 4-year WLT was 29.7%, which was unchanged over five eras. Preemptive WLT (prior to dialysis) increased by era (5.2% in 1997–2000 to 9.8% in 2013–2016), as did 4-year WLT incidence among patients aged 60–70 (13.4% in 1997–2000 to 19.8% in 2013–2016). Four-year WLT incidence diminished among patients aged 18–39 (55.8%–48.8%). Incidence of WLT was substantially lower among patients in lower-income communities, with no improvement over time. Likelihood of WLT after dialysis significantly declined over time (adjusted hazard ratio, 0.80; 95% confidence interval, 0.79 to 0.82) in 2013–2016 relative to 1997–2000.</w:t>
      </w:r>
    </w:p>
    <w:p w14:paraId="50E4E24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Conclusions: Despite wide recognition, policy reforms, and extensive research, rates of WLT following ESKD onset did not seem to improve in more than two decades and were consistently reduced among vulnerable populations. Improving access to transplantation may require more substantial interventions.</w:t>
      </w:r>
    </w:p>
    <w:p w14:paraId="77C94F5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 Jesse D. Schold, Jon A. Gregg, Jeffrey S. Harman, Allyson G. Hall, Pamela R. Patton, and Herwig-Ulf Meier-</w:t>
      </w:r>
      <w:proofErr w:type="spellStart"/>
      <w:r>
        <w:rPr>
          <w:rFonts w:ascii="Calibri" w:eastAsia="Calibri" w:hAnsi="Calibri" w:cs="Calibri"/>
          <w:color w:val="000000"/>
          <w:sz w:val="22"/>
        </w:rPr>
        <w:t>Kriesche</w:t>
      </w:r>
      <w:proofErr w:type="spellEnd"/>
      <w:r>
        <w:rPr>
          <w:rFonts w:ascii="Calibri" w:eastAsia="Calibri" w:hAnsi="Calibri" w:cs="Calibri"/>
          <w:color w:val="000000"/>
          <w:sz w:val="22"/>
        </w:rPr>
        <w:t>. Barriers to Evaluation and Wait Listing for Kidney Transplantation. CJASN 2011;6:1760.</w:t>
      </w:r>
    </w:p>
    <w:p w14:paraId="00F5105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w:t>
      </w:r>
    </w:p>
    <w:p w14:paraId="54800CA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Background and objectives: Many factors have been shown to be associated with ESRD patient placement on the waiting list and receipt of kidney transplantation. Our study aim was to evaluate factors and assess the interplay of patient characteristics associated with progression to transplantation in a large cohort of referred patients from a single institution.</w:t>
      </w:r>
    </w:p>
    <w:p w14:paraId="4F724DF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Design, setting, participants, &amp; measurements: We examined 3029 consecutive adult patients referred for transplantation from 2003 to 2008. Uni- and multivariable logistic models were used to assess </w:t>
      </w:r>
      <w:r>
        <w:rPr>
          <w:rFonts w:ascii="Calibri" w:eastAsia="Calibri" w:hAnsi="Calibri" w:cs="Calibri"/>
          <w:color w:val="000000"/>
          <w:sz w:val="22"/>
        </w:rPr>
        <w:lastRenderedPageBreak/>
        <w:t>factors associated with progress to transplantation including receipt of evaluations, waiting list placement, and receipt of a transplant.</w:t>
      </w:r>
    </w:p>
    <w:p w14:paraId="6F25E63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Results: A total of 56%, 27%, and 17% of referred patients were evaluated, were placed on the waiting list, and received a transplant over the study period, respectively. Older age, lower median income, and noncommercial insurance were associated with decreased likelihood to ascend steps to receive a transplant. There was no difference in the proportion of evaluations between African Americans (57%) and Caucasians (56%). Age-adjusted differences in waiting list placement by race were attenuated with further adjustment for income and insurance. There was no difference in the likelihood of waiting list placement between African Americans and Caucasians with commercial insurance.</w:t>
      </w:r>
    </w:p>
    <w:p w14:paraId="1BFE35A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Conclusions: Race/ethnicity, age, insurance status, and income are predominant factors associated with patient progress to transplantation. Disparities by race/ethnicity may be largely explained by insurance status and income, potentially suggesting that variable insurance coverage exacerbates disparities in access to transplantation in the ESRD population, despite Medicare entitlement.</w:t>
      </w:r>
    </w:p>
    <w:p w14:paraId="025E42B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3. Rachel E. Patzer, Sandra Amaral, Haimanot Wasse, Nataliya Volkova, David Kleinbaum, and William M. McClellan. Neighborhood Poverty and Racial Disparities in Kidney Transplant Waitlisting. JASN 2009;20:1333.</w:t>
      </w:r>
    </w:p>
    <w:p w14:paraId="7532D6B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w:t>
      </w:r>
    </w:p>
    <w:p w14:paraId="3A6377E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Racial disparities persist in the United States renal transplantation process. Previous studies suggest that the distance between a patient’s residence and the transplant facility may associate with disparities in transplant waitlisting. We examined this possibility in a cohort study using data for incident, adult ESRD patients (1998 to 2002) from the ESRD Network 6, which includes Georgia, North Carolina, and South Carolina. We linked data with the United Network for Organ Sharing (UNOS) transplant registry through 2005 and with the 2000 U.S. Census geographic data. Of the 35,346 subjects included in the analysis, 12% were waitlisted, 57% were black, 50% were men, 20% were impoverished, 45% had diabetes as the primary etiology of ESRD, and 73% had two or more comorbidities. The median distance from patient residence to the nearest transplant center was 48 mi. After controlling for multiple covariates, distance from patient residence to transplant center did not predict placement on the transplant waitlist. In contrast, race, neighborhood poverty, gender, age, diabetes, hypertension, body mass index, albumin, and the use of erythropoietin at dialysis initiation was associated with waitlisting. As neighborhood poverty increased, the likelihood of waitlisting decreased for blacks compared with whites in each poverty category; in the poorest neighborhoods, blacks were 57% less likely to be waitlisted than whites. This study suggests that improving the allocation of kidneys may require a focus on poor communities.</w:t>
      </w:r>
    </w:p>
    <w:p w14:paraId="14FBD8D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 Mara A. McAdams-DeMarco, Andrew Law, Megan L. Salter, Eric Chow, Morgan Grams, Jeremy Walston, and Dorry L. Segev. Frailty and Early Hospital Readmission after Kidney Transplantation. American Journal of Transplantation 2013;13:2089.</w:t>
      </w:r>
    </w:p>
    <w:p w14:paraId="1CB9CC7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w:t>
      </w:r>
    </w:p>
    <w:p w14:paraId="1EE541A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Early hospital readmission (EHR) after kidney transplantation (KT) is associated with increased morbidity and higher costs. Registry-based recipient, transplant, and center-level predictors of EHR are limited, and novel predictors are needed. We hypothesized that frailty, a measure of physiologic reserve initially described and validated in geriatrics and recently associated with early KT outcomes, might serve as a </w:t>
      </w:r>
      <w:r>
        <w:rPr>
          <w:rFonts w:ascii="Calibri" w:eastAsia="Calibri" w:hAnsi="Calibri" w:cs="Calibri"/>
          <w:color w:val="000000"/>
          <w:sz w:val="22"/>
        </w:rPr>
        <w:lastRenderedPageBreak/>
        <w:t>novel, independent predictor of EHR in KT recipients of all ages. We measured frailty in 383 KT recipients at Johns Hopkins Hospital. EHR was ascertained from medical records as ≥1 hospitalization within 30 days of initial post-KT discharge. Frail KT recipients were much more likely to experience EHR (45.8% vs. 28.0%, P=0.005), regardless of age. After adjusting for previously described registry-based risk factors, frailty independently predicted 61% higher risk of EHR (adjusted RR=1.61, 95% CI: 1.18–2.19, P=0.002). In addition, frailty improved EHR risk prediction by improving the area under the receiver operating characteristic curve (P=0.01) as well as the net reclassification index (P=0.04). Identifying frail KT recipients for targeted outpatient monitoring and intervention may reduce EHR rates.</w:t>
      </w:r>
    </w:p>
    <w:p w14:paraId="5C14706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5. Kidney Disease: Improving Global Outcomes (KDIGO) Kidney Transplant Candidate Work Group. KDIGO Clinical Practice Guideline on the Evaluation and Management of Candidates for Kidney Transplantation. Transplantation. 2020;104: S1 – S103.</w:t>
      </w:r>
    </w:p>
    <w:p w14:paraId="1728AC8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Abstract:</w:t>
      </w:r>
    </w:p>
    <w:p w14:paraId="0E6FAF1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2020 Kidney Disease: Improving Global Outcomes (KDIGO) Clinical Practice Guideline on the Evaluation and Management of Candidates for Kidney Transplantation is intended to assist health care professionals worldwide who evaluate and manage potential candidates for deceased or living donor kidney transplantation. This guideline addresses general candidacy issues such as access to transplantation, patient demographic and health status factors, and immunological and psychosocial assessment. The roles of various risk factors and comorbid conditions governing an individual ’ s suitability for transplantation such as adherence, tobacco use, diabetes, obesity, perioperative issues, causes of kidney failure, infections, malignancy, pulmonary disease, cardiac and peripheral arterial disease, neurologic disease, gastrointestinal and liver disease, hematologic disease, and bone and mineral disorder are also addressed. This guideline provides recommendations for evaluation of individual aspects of a candidate’s profile such that each risk factor and comorbidity are considered separately. The goal is to assist the clinical team to assimilate all data relevant to an individual, consider this within their local health context, and make an overall judgment on candidacy for transplantation. The guideline development process followed the Grades of Recommendation Assessment, Development, and Evaluation (GRADE) approach. Guideline recommendations are primarily based on systematic reviews of relevant studies and our assessment of the quality of that evidence, and the strengths of recommendations are provided. Limitations of the evidence are discussed with differences from previous guidelines noted and suggestions for future research are also provided.</w:t>
      </w:r>
    </w:p>
    <w:p w14:paraId="6D9C6BA7" w14:textId="77777777" w:rsidR="00A77B3E" w:rsidRDefault="00A77B3E">
      <w:pPr>
        <w:spacing w:after="240"/>
        <w:rPr>
          <w:rFonts w:ascii="Calibri" w:eastAsia="Calibri" w:hAnsi="Calibri" w:cs="Calibri"/>
          <w:color w:val="000000"/>
          <w:sz w:val="22"/>
        </w:rPr>
      </w:pPr>
    </w:p>
    <w:p w14:paraId="24DADA42" w14:textId="77777777" w:rsidR="00A77B3E" w:rsidRDefault="00A77B3E">
      <w:pPr>
        <w:spacing w:after="240"/>
        <w:rPr>
          <w:rFonts w:ascii="Calibri" w:eastAsia="Calibri" w:hAnsi="Calibri" w:cs="Calibri"/>
          <w:color w:val="000000"/>
          <w:sz w:val="22"/>
        </w:rPr>
      </w:pPr>
    </w:p>
    <w:p w14:paraId="7AF3E1B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2b.24) Detail the statistical results of the analyses used to test and select risk factors for inclusion in or exclusion from the risk model/stratification.</w:t>
      </w:r>
    </w:p>
    <w:p w14:paraId="79278EE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10: </w:t>
      </w:r>
      <w:r>
        <w:rPr>
          <w:rFonts w:ascii="Calibri" w:eastAsia="Calibri" w:hAnsi="Calibri" w:cs="Calibri"/>
          <w:color w:val="000000"/>
          <w:sz w:val="22"/>
        </w:rPr>
        <w:t>Model statistics for risk factors in PSWR model</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0:&amp;nbsp;Model statistics for risk factors in PSWR model"/>
        <w:tblDescription w:val="Table 10:&amp;nbsp;Model statistics for risk factors in PSWR model"/>
      </w:tblPr>
      <w:tblGrid>
        <w:gridCol w:w="4913"/>
        <w:gridCol w:w="2220"/>
        <w:gridCol w:w="2217"/>
      </w:tblGrid>
      <w:tr w:rsidR="00233F1E" w14:paraId="30253D40" w14:textId="77777777">
        <w:trPr>
          <w:cantSplit/>
          <w:trHeight w:val="300"/>
          <w:tblHeader/>
        </w:trPr>
        <w:tc>
          <w:tcPr>
            <w:tcW w:w="5276" w:type="dxa"/>
          </w:tcPr>
          <w:p w14:paraId="7DA261A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Covariate</w:t>
            </w:r>
          </w:p>
        </w:tc>
        <w:tc>
          <w:tcPr>
            <w:tcW w:w="2386" w:type="dxa"/>
          </w:tcPr>
          <w:p w14:paraId="598A0C61"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Hazard Ratio</w:t>
            </w:r>
          </w:p>
        </w:tc>
        <w:tc>
          <w:tcPr>
            <w:tcW w:w="2386" w:type="dxa"/>
          </w:tcPr>
          <w:p w14:paraId="2009B9AF" w14:textId="77777777" w:rsidR="00A77B3E" w:rsidRDefault="00000000">
            <w:pPr>
              <w:spacing w:after="240"/>
              <w:jc w:val="right"/>
              <w:rPr>
                <w:rFonts w:ascii="Calibri" w:eastAsia="Calibri" w:hAnsi="Calibri" w:cs="Calibri"/>
                <w:color w:val="000000"/>
                <w:sz w:val="22"/>
              </w:rPr>
            </w:pPr>
            <w:r>
              <w:rPr>
                <w:rFonts w:ascii="Calibri" w:eastAsia="Calibri" w:hAnsi="Calibri" w:cs="Calibri"/>
                <w:b/>
                <w:bCs/>
                <w:color w:val="000000"/>
                <w:sz w:val="22"/>
              </w:rPr>
              <w:t>95% CI</w:t>
            </w:r>
          </w:p>
        </w:tc>
      </w:tr>
      <w:tr w:rsidR="00233F1E" w14:paraId="4589B942" w14:textId="77777777">
        <w:trPr>
          <w:cantSplit/>
          <w:trHeight w:val="300"/>
        </w:trPr>
        <w:tc>
          <w:tcPr>
            <w:tcW w:w="5276" w:type="dxa"/>
          </w:tcPr>
          <w:p w14:paraId="1FAB8F7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Age </w:t>
            </w:r>
          </w:p>
        </w:tc>
        <w:tc>
          <w:tcPr>
            <w:tcW w:w="2386" w:type="dxa"/>
          </w:tcPr>
          <w:p w14:paraId="13AB086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2386" w:type="dxa"/>
          </w:tcPr>
          <w:p w14:paraId="236DC77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r>
      <w:tr w:rsidR="00233F1E" w14:paraId="7F5EFF35" w14:textId="77777777">
        <w:trPr>
          <w:cantSplit/>
          <w:trHeight w:val="300"/>
        </w:trPr>
        <w:tc>
          <w:tcPr>
            <w:tcW w:w="5276" w:type="dxa"/>
          </w:tcPr>
          <w:p w14:paraId="4F94E61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0-4</w:t>
            </w:r>
          </w:p>
        </w:tc>
        <w:tc>
          <w:tcPr>
            <w:tcW w:w="2386" w:type="dxa"/>
          </w:tcPr>
          <w:p w14:paraId="1E4B639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8.396</w:t>
            </w:r>
          </w:p>
        </w:tc>
        <w:tc>
          <w:tcPr>
            <w:tcW w:w="2386" w:type="dxa"/>
          </w:tcPr>
          <w:p w14:paraId="4D382E8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6.695, 10.529</w:t>
            </w:r>
          </w:p>
        </w:tc>
      </w:tr>
      <w:tr w:rsidR="00233F1E" w14:paraId="4F770C75" w14:textId="77777777">
        <w:trPr>
          <w:cantSplit/>
          <w:trHeight w:val="300"/>
        </w:trPr>
        <w:tc>
          <w:tcPr>
            <w:tcW w:w="5276" w:type="dxa"/>
          </w:tcPr>
          <w:p w14:paraId="7A719D9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5-9</w:t>
            </w:r>
          </w:p>
        </w:tc>
        <w:tc>
          <w:tcPr>
            <w:tcW w:w="2386" w:type="dxa"/>
          </w:tcPr>
          <w:p w14:paraId="73B7CE7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9.139</w:t>
            </w:r>
          </w:p>
        </w:tc>
        <w:tc>
          <w:tcPr>
            <w:tcW w:w="2386" w:type="dxa"/>
          </w:tcPr>
          <w:p w14:paraId="6D78D45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6.664, 12.532</w:t>
            </w:r>
          </w:p>
        </w:tc>
      </w:tr>
      <w:tr w:rsidR="00233F1E" w14:paraId="7C720940" w14:textId="77777777">
        <w:trPr>
          <w:cantSplit/>
          <w:trHeight w:val="300"/>
        </w:trPr>
        <w:tc>
          <w:tcPr>
            <w:tcW w:w="5276" w:type="dxa"/>
          </w:tcPr>
          <w:p w14:paraId="2525D24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10-14</w:t>
            </w:r>
          </w:p>
        </w:tc>
        <w:tc>
          <w:tcPr>
            <w:tcW w:w="2386" w:type="dxa"/>
          </w:tcPr>
          <w:p w14:paraId="3700A53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7.797</w:t>
            </w:r>
          </w:p>
        </w:tc>
        <w:tc>
          <w:tcPr>
            <w:tcW w:w="2386" w:type="dxa"/>
          </w:tcPr>
          <w:p w14:paraId="2ECFFEE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6.013, 10.112</w:t>
            </w:r>
          </w:p>
        </w:tc>
      </w:tr>
      <w:tr w:rsidR="00233F1E" w14:paraId="3C560A10" w14:textId="77777777">
        <w:trPr>
          <w:cantSplit/>
          <w:trHeight w:val="300"/>
        </w:trPr>
        <w:tc>
          <w:tcPr>
            <w:tcW w:w="5276" w:type="dxa"/>
          </w:tcPr>
          <w:p w14:paraId="3DD9E4B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15-19</w:t>
            </w:r>
          </w:p>
        </w:tc>
        <w:tc>
          <w:tcPr>
            <w:tcW w:w="2386" w:type="dxa"/>
          </w:tcPr>
          <w:p w14:paraId="6B2751A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6.705</w:t>
            </w:r>
          </w:p>
        </w:tc>
        <w:tc>
          <w:tcPr>
            <w:tcW w:w="2386" w:type="dxa"/>
          </w:tcPr>
          <w:p w14:paraId="5E74A7C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5.677, 7.918</w:t>
            </w:r>
          </w:p>
        </w:tc>
      </w:tr>
      <w:tr w:rsidR="00233F1E" w14:paraId="31A81C9E" w14:textId="77777777">
        <w:trPr>
          <w:cantSplit/>
          <w:trHeight w:val="300"/>
        </w:trPr>
        <w:tc>
          <w:tcPr>
            <w:tcW w:w="5276" w:type="dxa"/>
          </w:tcPr>
          <w:p w14:paraId="4BCCD03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20-24</w:t>
            </w:r>
          </w:p>
        </w:tc>
        <w:tc>
          <w:tcPr>
            <w:tcW w:w="2386" w:type="dxa"/>
          </w:tcPr>
          <w:p w14:paraId="0B5BD37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4.847</w:t>
            </w:r>
          </w:p>
        </w:tc>
        <w:tc>
          <w:tcPr>
            <w:tcW w:w="2386" w:type="dxa"/>
          </w:tcPr>
          <w:p w14:paraId="5CCCA37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4.418, 5.316</w:t>
            </w:r>
          </w:p>
        </w:tc>
      </w:tr>
      <w:tr w:rsidR="00233F1E" w14:paraId="0C9CD607" w14:textId="77777777">
        <w:trPr>
          <w:cantSplit/>
          <w:trHeight w:val="300"/>
        </w:trPr>
        <w:tc>
          <w:tcPr>
            <w:tcW w:w="5276" w:type="dxa"/>
          </w:tcPr>
          <w:p w14:paraId="195EB41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25-29</w:t>
            </w:r>
          </w:p>
        </w:tc>
        <w:tc>
          <w:tcPr>
            <w:tcW w:w="2386" w:type="dxa"/>
          </w:tcPr>
          <w:p w14:paraId="612E9B6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3.749</w:t>
            </w:r>
          </w:p>
        </w:tc>
        <w:tc>
          <w:tcPr>
            <w:tcW w:w="2386" w:type="dxa"/>
          </w:tcPr>
          <w:p w14:paraId="540CDD9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3.496, 4.021</w:t>
            </w:r>
          </w:p>
        </w:tc>
      </w:tr>
      <w:tr w:rsidR="00233F1E" w14:paraId="4534026F" w14:textId="77777777">
        <w:trPr>
          <w:cantSplit/>
          <w:trHeight w:val="300"/>
        </w:trPr>
        <w:tc>
          <w:tcPr>
            <w:tcW w:w="5276" w:type="dxa"/>
          </w:tcPr>
          <w:p w14:paraId="77CB6F8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30-34</w:t>
            </w:r>
          </w:p>
        </w:tc>
        <w:tc>
          <w:tcPr>
            <w:tcW w:w="2386" w:type="dxa"/>
          </w:tcPr>
          <w:p w14:paraId="5283907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3.031</w:t>
            </w:r>
          </w:p>
        </w:tc>
        <w:tc>
          <w:tcPr>
            <w:tcW w:w="2386" w:type="dxa"/>
          </w:tcPr>
          <w:p w14:paraId="1C495AF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2.856, 3.218</w:t>
            </w:r>
          </w:p>
        </w:tc>
      </w:tr>
      <w:tr w:rsidR="00233F1E" w14:paraId="7A9FB34D" w14:textId="77777777">
        <w:trPr>
          <w:cantSplit/>
          <w:trHeight w:val="300"/>
        </w:trPr>
        <w:tc>
          <w:tcPr>
            <w:tcW w:w="5276" w:type="dxa"/>
          </w:tcPr>
          <w:p w14:paraId="774E3F7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35-39</w:t>
            </w:r>
          </w:p>
        </w:tc>
        <w:tc>
          <w:tcPr>
            <w:tcW w:w="2386" w:type="dxa"/>
          </w:tcPr>
          <w:p w14:paraId="0FE52AE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2.638</w:t>
            </w:r>
          </w:p>
        </w:tc>
        <w:tc>
          <w:tcPr>
            <w:tcW w:w="2386" w:type="dxa"/>
          </w:tcPr>
          <w:p w14:paraId="65AB607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2.499, 2.785</w:t>
            </w:r>
          </w:p>
        </w:tc>
      </w:tr>
      <w:tr w:rsidR="00233F1E" w14:paraId="6FBC4704" w14:textId="77777777">
        <w:trPr>
          <w:cantSplit/>
          <w:trHeight w:val="300"/>
        </w:trPr>
        <w:tc>
          <w:tcPr>
            <w:tcW w:w="5276" w:type="dxa"/>
          </w:tcPr>
          <w:p w14:paraId="5BAE928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40-44</w:t>
            </w:r>
          </w:p>
        </w:tc>
        <w:tc>
          <w:tcPr>
            <w:tcW w:w="2386" w:type="dxa"/>
          </w:tcPr>
          <w:p w14:paraId="5337FAC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2.228</w:t>
            </w:r>
          </w:p>
        </w:tc>
        <w:tc>
          <w:tcPr>
            <w:tcW w:w="2386" w:type="dxa"/>
          </w:tcPr>
          <w:p w14:paraId="259C141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2.119, 2.344</w:t>
            </w:r>
          </w:p>
        </w:tc>
      </w:tr>
      <w:tr w:rsidR="00233F1E" w14:paraId="284AB5A7" w14:textId="77777777">
        <w:trPr>
          <w:cantSplit/>
          <w:trHeight w:val="300"/>
        </w:trPr>
        <w:tc>
          <w:tcPr>
            <w:tcW w:w="5276" w:type="dxa"/>
          </w:tcPr>
          <w:p w14:paraId="24FD644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45-49</w:t>
            </w:r>
          </w:p>
        </w:tc>
        <w:tc>
          <w:tcPr>
            <w:tcW w:w="2386" w:type="dxa"/>
          </w:tcPr>
          <w:p w14:paraId="27FCF38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1.939</w:t>
            </w:r>
          </w:p>
        </w:tc>
        <w:tc>
          <w:tcPr>
            <w:tcW w:w="2386" w:type="dxa"/>
          </w:tcPr>
          <w:p w14:paraId="2E164B1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1.852, 2.031</w:t>
            </w:r>
          </w:p>
        </w:tc>
      </w:tr>
      <w:tr w:rsidR="00233F1E" w14:paraId="4FA466E1" w14:textId="77777777">
        <w:trPr>
          <w:cantSplit/>
          <w:trHeight w:val="300"/>
        </w:trPr>
        <w:tc>
          <w:tcPr>
            <w:tcW w:w="5276" w:type="dxa"/>
          </w:tcPr>
          <w:p w14:paraId="55277F6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50-54</w:t>
            </w:r>
          </w:p>
        </w:tc>
        <w:tc>
          <w:tcPr>
            <w:tcW w:w="2386" w:type="dxa"/>
          </w:tcPr>
          <w:p w14:paraId="674FE4B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1.573</w:t>
            </w:r>
          </w:p>
        </w:tc>
        <w:tc>
          <w:tcPr>
            <w:tcW w:w="2386" w:type="dxa"/>
          </w:tcPr>
          <w:p w14:paraId="7F0721B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1.504, 1.644</w:t>
            </w:r>
          </w:p>
        </w:tc>
      </w:tr>
      <w:tr w:rsidR="00233F1E" w14:paraId="3E778343" w14:textId="77777777">
        <w:trPr>
          <w:cantSplit/>
          <w:trHeight w:val="300"/>
        </w:trPr>
        <w:tc>
          <w:tcPr>
            <w:tcW w:w="5276" w:type="dxa"/>
          </w:tcPr>
          <w:p w14:paraId="710BAF0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55-59</w:t>
            </w:r>
          </w:p>
        </w:tc>
        <w:tc>
          <w:tcPr>
            <w:tcW w:w="2386" w:type="dxa"/>
          </w:tcPr>
          <w:p w14:paraId="6845E7C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1.400</w:t>
            </w:r>
          </w:p>
        </w:tc>
        <w:tc>
          <w:tcPr>
            <w:tcW w:w="2386" w:type="dxa"/>
          </w:tcPr>
          <w:p w14:paraId="5CDA518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1.341, 1.461</w:t>
            </w:r>
          </w:p>
        </w:tc>
      </w:tr>
      <w:tr w:rsidR="00233F1E" w14:paraId="1AC016B5" w14:textId="77777777">
        <w:trPr>
          <w:cantSplit/>
          <w:trHeight w:val="300"/>
        </w:trPr>
        <w:tc>
          <w:tcPr>
            <w:tcW w:w="5276" w:type="dxa"/>
          </w:tcPr>
          <w:p w14:paraId="09F3708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60-64</w:t>
            </w:r>
          </w:p>
        </w:tc>
        <w:tc>
          <w:tcPr>
            <w:tcW w:w="2386" w:type="dxa"/>
          </w:tcPr>
          <w:p w14:paraId="5B3137B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1.161</w:t>
            </w:r>
          </w:p>
        </w:tc>
        <w:tc>
          <w:tcPr>
            <w:tcW w:w="2386" w:type="dxa"/>
          </w:tcPr>
          <w:p w14:paraId="0A347D8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1.113, 1.212</w:t>
            </w:r>
          </w:p>
        </w:tc>
      </w:tr>
      <w:tr w:rsidR="00233F1E" w14:paraId="203A8F1A" w14:textId="77777777">
        <w:trPr>
          <w:cantSplit/>
          <w:trHeight w:val="300"/>
        </w:trPr>
        <w:tc>
          <w:tcPr>
            <w:tcW w:w="5276" w:type="dxa"/>
          </w:tcPr>
          <w:p w14:paraId="5633EAD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65-74</w:t>
            </w:r>
          </w:p>
        </w:tc>
        <w:tc>
          <w:tcPr>
            <w:tcW w:w="2386" w:type="dxa"/>
          </w:tcPr>
          <w:p w14:paraId="20C5A9E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0.431</w:t>
            </w:r>
          </w:p>
        </w:tc>
        <w:tc>
          <w:tcPr>
            <w:tcW w:w="2386" w:type="dxa"/>
          </w:tcPr>
          <w:p w14:paraId="5A12D9C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0.408, 0.455</w:t>
            </w:r>
          </w:p>
        </w:tc>
      </w:tr>
      <w:tr w:rsidR="00233F1E" w14:paraId="41329B73" w14:textId="77777777">
        <w:trPr>
          <w:cantSplit/>
          <w:trHeight w:val="300"/>
        </w:trPr>
        <w:tc>
          <w:tcPr>
            <w:tcW w:w="5276" w:type="dxa"/>
          </w:tcPr>
          <w:p w14:paraId="0190951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Dual eligibility</w:t>
            </w:r>
          </w:p>
        </w:tc>
        <w:tc>
          <w:tcPr>
            <w:tcW w:w="2386" w:type="dxa"/>
          </w:tcPr>
          <w:p w14:paraId="22B35EA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0.779</w:t>
            </w:r>
          </w:p>
        </w:tc>
        <w:tc>
          <w:tcPr>
            <w:tcW w:w="2386" w:type="dxa"/>
          </w:tcPr>
          <w:p w14:paraId="56421BD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0.760, 0.799</w:t>
            </w:r>
          </w:p>
        </w:tc>
      </w:tr>
      <w:tr w:rsidR="00233F1E" w14:paraId="553CDF6C" w14:textId="77777777">
        <w:trPr>
          <w:cantSplit/>
          <w:trHeight w:val="300"/>
        </w:trPr>
        <w:tc>
          <w:tcPr>
            <w:tcW w:w="5276" w:type="dxa"/>
          </w:tcPr>
          <w:p w14:paraId="4D825D7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ADI</w:t>
            </w:r>
          </w:p>
        </w:tc>
        <w:tc>
          <w:tcPr>
            <w:tcW w:w="2386" w:type="dxa"/>
          </w:tcPr>
          <w:p w14:paraId="1D49BF5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0.930</w:t>
            </w:r>
          </w:p>
        </w:tc>
        <w:tc>
          <w:tcPr>
            <w:tcW w:w="2386" w:type="dxa"/>
          </w:tcPr>
          <w:p w14:paraId="313EE75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0.923, 0.937</w:t>
            </w:r>
          </w:p>
        </w:tc>
      </w:tr>
      <w:tr w:rsidR="00233F1E" w14:paraId="34DE04AC" w14:textId="77777777">
        <w:trPr>
          <w:cantSplit/>
          <w:trHeight w:val="300"/>
        </w:trPr>
        <w:tc>
          <w:tcPr>
            <w:tcW w:w="5276" w:type="dxa"/>
          </w:tcPr>
          <w:p w14:paraId="1B5419A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Previous waitlisting</w:t>
            </w:r>
          </w:p>
        </w:tc>
        <w:tc>
          <w:tcPr>
            <w:tcW w:w="2386" w:type="dxa"/>
          </w:tcPr>
          <w:p w14:paraId="04684F2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0.859</w:t>
            </w:r>
          </w:p>
        </w:tc>
        <w:tc>
          <w:tcPr>
            <w:tcW w:w="2386" w:type="dxa"/>
          </w:tcPr>
          <w:p w14:paraId="30B1ED0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0.824, 0.897</w:t>
            </w:r>
          </w:p>
        </w:tc>
      </w:tr>
      <w:tr w:rsidR="00233F1E" w14:paraId="2E244B0C" w14:textId="77777777">
        <w:trPr>
          <w:cantSplit/>
          <w:trHeight w:val="300"/>
        </w:trPr>
        <w:tc>
          <w:tcPr>
            <w:tcW w:w="5276" w:type="dxa"/>
          </w:tcPr>
          <w:p w14:paraId="446614F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Previous transplant</w:t>
            </w:r>
          </w:p>
        </w:tc>
        <w:tc>
          <w:tcPr>
            <w:tcW w:w="2386" w:type="dxa"/>
          </w:tcPr>
          <w:p w14:paraId="1B4064A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1.282</w:t>
            </w:r>
          </w:p>
        </w:tc>
        <w:tc>
          <w:tcPr>
            <w:tcW w:w="2386" w:type="dxa"/>
          </w:tcPr>
          <w:p w14:paraId="1062821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1.219, 1.348</w:t>
            </w:r>
          </w:p>
        </w:tc>
      </w:tr>
      <w:tr w:rsidR="00233F1E" w14:paraId="0EA28987" w14:textId="77777777">
        <w:trPr>
          <w:cantSplit/>
          <w:trHeight w:val="300"/>
        </w:trPr>
        <w:tc>
          <w:tcPr>
            <w:tcW w:w="5276" w:type="dxa"/>
          </w:tcPr>
          <w:p w14:paraId="415FDDC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Year</w:t>
            </w:r>
          </w:p>
        </w:tc>
        <w:tc>
          <w:tcPr>
            <w:tcW w:w="2386" w:type="dxa"/>
          </w:tcPr>
          <w:p w14:paraId="15CC140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2386" w:type="dxa"/>
          </w:tcPr>
          <w:p w14:paraId="512835B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r>
      <w:tr w:rsidR="00233F1E" w14:paraId="0BF8D835" w14:textId="77777777">
        <w:trPr>
          <w:cantSplit/>
          <w:trHeight w:val="300"/>
        </w:trPr>
        <w:tc>
          <w:tcPr>
            <w:tcW w:w="5276" w:type="dxa"/>
          </w:tcPr>
          <w:p w14:paraId="0C82A8C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2017</w:t>
            </w:r>
          </w:p>
        </w:tc>
        <w:tc>
          <w:tcPr>
            <w:tcW w:w="2386" w:type="dxa"/>
          </w:tcPr>
          <w:p w14:paraId="0B92B97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0.864</w:t>
            </w:r>
          </w:p>
        </w:tc>
        <w:tc>
          <w:tcPr>
            <w:tcW w:w="2386" w:type="dxa"/>
          </w:tcPr>
          <w:p w14:paraId="16E28AF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0.840, 0.889</w:t>
            </w:r>
          </w:p>
        </w:tc>
      </w:tr>
      <w:tr w:rsidR="00233F1E" w14:paraId="57CD5A50" w14:textId="77777777">
        <w:trPr>
          <w:cantSplit/>
          <w:trHeight w:val="300"/>
        </w:trPr>
        <w:tc>
          <w:tcPr>
            <w:tcW w:w="5276" w:type="dxa"/>
          </w:tcPr>
          <w:p w14:paraId="648B138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2018</w:t>
            </w:r>
          </w:p>
        </w:tc>
        <w:tc>
          <w:tcPr>
            <w:tcW w:w="2386" w:type="dxa"/>
          </w:tcPr>
          <w:p w14:paraId="4678738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0.942</w:t>
            </w:r>
          </w:p>
        </w:tc>
        <w:tc>
          <w:tcPr>
            <w:tcW w:w="2386" w:type="dxa"/>
          </w:tcPr>
          <w:p w14:paraId="15F44A2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0.916, 0.968</w:t>
            </w:r>
          </w:p>
        </w:tc>
      </w:tr>
      <w:tr w:rsidR="00233F1E" w14:paraId="47320813" w14:textId="77777777">
        <w:trPr>
          <w:cantSplit/>
          <w:trHeight w:val="300"/>
        </w:trPr>
        <w:tc>
          <w:tcPr>
            <w:tcW w:w="5276" w:type="dxa"/>
          </w:tcPr>
          <w:p w14:paraId="7C0E85FA"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Transplant center characteristics</w:t>
            </w:r>
          </w:p>
        </w:tc>
        <w:tc>
          <w:tcPr>
            <w:tcW w:w="2386" w:type="dxa"/>
          </w:tcPr>
          <w:p w14:paraId="5436BCA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2386" w:type="dxa"/>
          </w:tcPr>
          <w:p w14:paraId="52EF739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r>
      <w:tr w:rsidR="00233F1E" w14:paraId="4EE39C43" w14:textId="77777777">
        <w:trPr>
          <w:cantSplit/>
          <w:trHeight w:val="300"/>
        </w:trPr>
        <w:tc>
          <w:tcPr>
            <w:tcW w:w="5276" w:type="dxa"/>
          </w:tcPr>
          <w:p w14:paraId="656C9EC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Weighted waitlist mortality ratio</w:t>
            </w:r>
          </w:p>
        </w:tc>
        <w:tc>
          <w:tcPr>
            <w:tcW w:w="2386" w:type="dxa"/>
          </w:tcPr>
          <w:p w14:paraId="131475B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1.130</w:t>
            </w:r>
          </w:p>
        </w:tc>
        <w:tc>
          <w:tcPr>
            <w:tcW w:w="2386" w:type="dxa"/>
          </w:tcPr>
          <w:p w14:paraId="12F4A82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0.936, 1.365</w:t>
            </w:r>
          </w:p>
        </w:tc>
      </w:tr>
      <w:tr w:rsidR="00233F1E" w14:paraId="51E7FAD7" w14:textId="77777777">
        <w:trPr>
          <w:cantSplit/>
          <w:trHeight w:val="300"/>
        </w:trPr>
        <w:tc>
          <w:tcPr>
            <w:tcW w:w="5276" w:type="dxa"/>
          </w:tcPr>
          <w:p w14:paraId="0CEE83B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Weighted transplant rate ratio</w:t>
            </w:r>
          </w:p>
        </w:tc>
        <w:tc>
          <w:tcPr>
            <w:tcW w:w="2386" w:type="dxa"/>
          </w:tcPr>
          <w:p w14:paraId="3540DBD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1.073</w:t>
            </w:r>
          </w:p>
        </w:tc>
        <w:tc>
          <w:tcPr>
            <w:tcW w:w="2386" w:type="dxa"/>
          </w:tcPr>
          <w:p w14:paraId="143F0D2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0.998, 1.153</w:t>
            </w:r>
          </w:p>
        </w:tc>
      </w:tr>
      <w:tr w:rsidR="00233F1E" w14:paraId="50D611F2" w14:textId="77777777">
        <w:trPr>
          <w:cantSplit/>
          <w:trHeight w:val="300"/>
        </w:trPr>
        <w:tc>
          <w:tcPr>
            <w:tcW w:w="5276" w:type="dxa"/>
          </w:tcPr>
          <w:p w14:paraId="4B8EDF0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lastRenderedPageBreak/>
              <w:t>Comorbidities at incidence</w:t>
            </w:r>
          </w:p>
        </w:tc>
        <w:tc>
          <w:tcPr>
            <w:tcW w:w="2386" w:type="dxa"/>
          </w:tcPr>
          <w:p w14:paraId="430DD51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2386" w:type="dxa"/>
          </w:tcPr>
          <w:p w14:paraId="04B5E31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r>
      <w:tr w:rsidR="00233F1E" w14:paraId="05F5F969" w14:textId="77777777">
        <w:trPr>
          <w:cantSplit/>
          <w:trHeight w:val="300"/>
        </w:trPr>
        <w:tc>
          <w:tcPr>
            <w:tcW w:w="5276" w:type="dxa"/>
          </w:tcPr>
          <w:p w14:paraId="3F7B3EE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Heart disease</w:t>
            </w:r>
          </w:p>
        </w:tc>
        <w:tc>
          <w:tcPr>
            <w:tcW w:w="2386" w:type="dxa"/>
          </w:tcPr>
          <w:p w14:paraId="7629743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0.933</w:t>
            </w:r>
          </w:p>
        </w:tc>
        <w:tc>
          <w:tcPr>
            <w:tcW w:w="2386" w:type="dxa"/>
          </w:tcPr>
          <w:p w14:paraId="2F5C60B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0.885, 0.983</w:t>
            </w:r>
          </w:p>
        </w:tc>
      </w:tr>
      <w:tr w:rsidR="00233F1E" w14:paraId="1792FBC2" w14:textId="77777777">
        <w:trPr>
          <w:cantSplit/>
          <w:trHeight w:val="300"/>
        </w:trPr>
        <w:tc>
          <w:tcPr>
            <w:tcW w:w="5276" w:type="dxa"/>
          </w:tcPr>
          <w:p w14:paraId="486DF0D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Other cardiac disease</w:t>
            </w:r>
          </w:p>
        </w:tc>
        <w:tc>
          <w:tcPr>
            <w:tcW w:w="2386" w:type="dxa"/>
          </w:tcPr>
          <w:p w14:paraId="3CBD045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0.952</w:t>
            </w:r>
          </w:p>
        </w:tc>
        <w:tc>
          <w:tcPr>
            <w:tcW w:w="2386" w:type="dxa"/>
          </w:tcPr>
          <w:p w14:paraId="3A5CDCE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0.911, 0.993</w:t>
            </w:r>
          </w:p>
        </w:tc>
      </w:tr>
      <w:tr w:rsidR="00233F1E" w14:paraId="45FEF9DC" w14:textId="77777777">
        <w:trPr>
          <w:cantSplit/>
          <w:trHeight w:val="300"/>
        </w:trPr>
        <w:tc>
          <w:tcPr>
            <w:tcW w:w="5276" w:type="dxa"/>
          </w:tcPr>
          <w:p w14:paraId="7CD10EA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Congestive heart failure</w:t>
            </w:r>
          </w:p>
        </w:tc>
        <w:tc>
          <w:tcPr>
            <w:tcW w:w="2386" w:type="dxa"/>
          </w:tcPr>
          <w:p w14:paraId="7B2BF9F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0.688</w:t>
            </w:r>
          </w:p>
        </w:tc>
        <w:tc>
          <w:tcPr>
            <w:tcW w:w="2386" w:type="dxa"/>
          </w:tcPr>
          <w:p w14:paraId="6120E50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0.663, 0.714</w:t>
            </w:r>
          </w:p>
        </w:tc>
      </w:tr>
      <w:tr w:rsidR="00233F1E" w14:paraId="01B35C53" w14:textId="77777777">
        <w:trPr>
          <w:cantSplit/>
          <w:trHeight w:val="300"/>
        </w:trPr>
        <w:tc>
          <w:tcPr>
            <w:tcW w:w="5276" w:type="dxa"/>
          </w:tcPr>
          <w:p w14:paraId="61C44F3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Chronic obstruction pulmonary disease</w:t>
            </w:r>
          </w:p>
        </w:tc>
        <w:tc>
          <w:tcPr>
            <w:tcW w:w="2386" w:type="dxa"/>
          </w:tcPr>
          <w:p w14:paraId="432049E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0.433</w:t>
            </w:r>
          </w:p>
        </w:tc>
        <w:tc>
          <w:tcPr>
            <w:tcW w:w="2386" w:type="dxa"/>
          </w:tcPr>
          <w:p w14:paraId="48BFD0A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0.374, 0.500</w:t>
            </w:r>
          </w:p>
        </w:tc>
      </w:tr>
      <w:tr w:rsidR="00233F1E" w14:paraId="32BDF503" w14:textId="77777777">
        <w:trPr>
          <w:cantSplit/>
          <w:trHeight w:val="300"/>
        </w:trPr>
        <w:tc>
          <w:tcPr>
            <w:tcW w:w="5276" w:type="dxa"/>
          </w:tcPr>
          <w:p w14:paraId="58E9999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Inability to ambulate</w:t>
            </w:r>
          </w:p>
        </w:tc>
        <w:tc>
          <w:tcPr>
            <w:tcW w:w="2386" w:type="dxa"/>
          </w:tcPr>
          <w:p w14:paraId="14B633F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0.662</w:t>
            </w:r>
          </w:p>
        </w:tc>
        <w:tc>
          <w:tcPr>
            <w:tcW w:w="2386" w:type="dxa"/>
          </w:tcPr>
          <w:p w14:paraId="2CF449B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0.608, 0.721</w:t>
            </w:r>
          </w:p>
        </w:tc>
      </w:tr>
      <w:tr w:rsidR="00233F1E" w14:paraId="23B2B7AA" w14:textId="77777777">
        <w:trPr>
          <w:cantSplit/>
          <w:trHeight w:val="300"/>
        </w:trPr>
        <w:tc>
          <w:tcPr>
            <w:tcW w:w="5276" w:type="dxa"/>
          </w:tcPr>
          <w:p w14:paraId="3C6D38A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Inability to transfer</w:t>
            </w:r>
          </w:p>
        </w:tc>
        <w:tc>
          <w:tcPr>
            <w:tcW w:w="2386" w:type="dxa"/>
          </w:tcPr>
          <w:p w14:paraId="452319D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0.777</w:t>
            </w:r>
          </w:p>
        </w:tc>
        <w:tc>
          <w:tcPr>
            <w:tcW w:w="2386" w:type="dxa"/>
          </w:tcPr>
          <w:p w14:paraId="6EA3F9C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0.621, 0.973</w:t>
            </w:r>
          </w:p>
        </w:tc>
      </w:tr>
      <w:tr w:rsidR="00233F1E" w14:paraId="59902DC4" w14:textId="77777777">
        <w:trPr>
          <w:cantSplit/>
          <w:trHeight w:val="300"/>
        </w:trPr>
        <w:tc>
          <w:tcPr>
            <w:tcW w:w="5276" w:type="dxa"/>
          </w:tcPr>
          <w:p w14:paraId="1A3CC33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Cancer</w:t>
            </w:r>
          </w:p>
        </w:tc>
        <w:tc>
          <w:tcPr>
            <w:tcW w:w="2386" w:type="dxa"/>
          </w:tcPr>
          <w:p w14:paraId="2819A8E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0.811</w:t>
            </w:r>
          </w:p>
        </w:tc>
        <w:tc>
          <w:tcPr>
            <w:tcW w:w="2386" w:type="dxa"/>
          </w:tcPr>
          <w:p w14:paraId="7B71D89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0.751, 0.876</w:t>
            </w:r>
          </w:p>
        </w:tc>
      </w:tr>
      <w:tr w:rsidR="00233F1E" w14:paraId="00DFAAA6" w14:textId="77777777">
        <w:trPr>
          <w:cantSplit/>
          <w:trHeight w:val="300"/>
        </w:trPr>
        <w:tc>
          <w:tcPr>
            <w:tcW w:w="5276" w:type="dxa"/>
          </w:tcPr>
          <w:p w14:paraId="0B38A88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Peripheral vascular disease</w:t>
            </w:r>
          </w:p>
        </w:tc>
        <w:tc>
          <w:tcPr>
            <w:tcW w:w="2386" w:type="dxa"/>
          </w:tcPr>
          <w:p w14:paraId="17A5DAD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0.743</w:t>
            </w:r>
          </w:p>
        </w:tc>
        <w:tc>
          <w:tcPr>
            <w:tcW w:w="2386" w:type="dxa"/>
          </w:tcPr>
          <w:p w14:paraId="50CA6DB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0.697, 0.792</w:t>
            </w:r>
          </w:p>
        </w:tc>
      </w:tr>
      <w:tr w:rsidR="00233F1E" w14:paraId="7B3D6E62" w14:textId="77777777">
        <w:trPr>
          <w:cantSplit/>
          <w:trHeight w:val="300"/>
        </w:trPr>
        <w:tc>
          <w:tcPr>
            <w:tcW w:w="5276" w:type="dxa"/>
          </w:tcPr>
          <w:p w14:paraId="1FA2596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Cerebrovascular disease</w:t>
            </w:r>
          </w:p>
        </w:tc>
        <w:tc>
          <w:tcPr>
            <w:tcW w:w="2386" w:type="dxa"/>
          </w:tcPr>
          <w:p w14:paraId="324BA51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0.777</w:t>
            </w:r>
          </w:p>
        </w:tc>
        <w:tc>
          <w:tcPr>
            <w:tcW w:w="2386" w:type="dxa"/>
          </w:tcPr>
          <w:p w14:paraId="1B0A752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0.729, 0.827</w:t>
            </w:r>
          </w:p>
        </w:tc>
      </w:tr>
      <w:tr w:rsidR="00233F1E" w14:paraId="1867F7F8" w14:textId="77777777">
        <w:trPr>
          <w:cantSplit/>
          <w:trHeight w:val="300"/>
        </w:trPr>
        <w:tc>
          <w:tcPr>
            <w:tcW w:w="5276" w:type="dxa"/>
          </w:tcPr>
          <w:p w14:paraId="7EC0AEE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Tobacco use</w:t>
            </w:r>
          </w:p>
        </w:tc>
        <w:tc>
          <w:tcPr>
            <w:tcW w:w="2386" w:type="dxa"/>
          </w:tcPr>
          <w:p w14:paraId="4102E1E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0.545</w:t>
            </w:r>
          </w:p>
        </w:tc>
        <w:tc>
          <w:tcPr>
            <w:tcW w:w="2386" w:type="dxa"/>
          </w:tcPr>
          <w:p w14:paraId="26A1633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0.512, 0.579</w:t>
            </w:r>
          </w:p>
        </w:tc>
      </w:tr>
      <w:tr w:rsidR="00233F1E" w14:paraId="78DE4E99" w14:textId="77777777">
        <w:trPr>
          <w:cantSplit/>
          <w:trHeight w:val="300"/>
        </w:trPr>
        <w:tc>
          <w:tcPr>
            <w:tcW w:w="5276" w:type="dxa"/>
          </w:tcPr>
          <w:p w14:paraId="67A0A76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Drug use</w:t>
            </w:r>
          </w:p>
        </w:tc>
        <w:tc>
          <w:tcPr>
            <w:tcW w:w="2386" w:type="dxa"/>
          </w:tcPr>
          <w:p w14:paraId="1943111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0.509</w:t>
            </w:r>
          </w:p>
        </w:tc>
        <w:tc>
          <w:tcPr>
            <w:tcW w:w="2386" w:type="dxa"/>
          </w:tcPr>
          <w:p w14:paraId="3CF407D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0.445, 0.582</w:t>
            </w:r>
          </w:p>
        </w:tc>
      </w:tr>
      <w:tr w:rsidR="00233F1E" w14:paraId="1097E80D" w14:textId="77777777">
        <w:trPr>
          <w:cantSplit/>
          <w:trHeight w:val="300"/>
        </w:trPr>
        <w:tc>
          <w:tcPr>
            <w:tcW w:w="5276" w:type="dxa"/>
          </w:tcPr>
          <w:p w14:paraId="037A2EF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Diabetes, non-primary</w:t>
            </w:r>
          </w:p>
        </w:tc>
        <w:tc>
          <w:tcPr>
            <w:tcW w:w="2386" w:type="dxa"/>
          </w:tcPr>
          <w:p w14:paraId="01682BB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0.714</w:t>
            </w:r>
          </w:p>
        </w:tc>
        <w:tc>
          <w:tcPr>
            <w:tcW w:w="2386" w:type="dxa"/>
          </w:tcPr>
          <w:p w14:paraId="14620CF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0.682, 0.747</w:t>
            </w:r>
          </w:p>
        </w:tc>
      </w:tr>
      <w:tr w:rsidR="00233F1E" w14:paraId="25B3D284" w14:textId="77777777">
        <w:trPr>
          <w:cantSplit/>
          <w:trHeight w:val="300"/>
        </w:trPr>
        <w:tc>
          <w:tcPr>
            <w:tcW w:w="5276" w:type="dxa"/>
          </w:tcPr>
          <w:p w14:paraId="2EADFFE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At least one incident comorbidity listed</w:t>
            </w:r>
          </w:p>
        </w:tc>
        <w:tc>
          <w:tcPr>
            <w:tcW w:w="2386" w:type="dxa"/>
          </w:tcPr>
          <w:p w14:paraId="643FBD9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0.811</w:t>
            </w:r>
          </w:p>
        </w:tc>
        <w:tc>
          <w:tcPr>
            <w:tcW w:w="2386" w:type="dxa"/>
          </w:tcPr>
          <w:p w14:paraId="7C5A0D0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0.770, 0.855</w:t>
            </w:r>
          </w:p>
        </w:tc>
      </w:tr>
      <w:tr w:rsidR="00233F1E" w14:paraId="3A7FA95E" w14:textId="77777777">
        <w:trPr>
          <w:cantSplit/>
          <w:trHeight w:val="300"/>
        </w:trPr>
        <w:tc>
          <w:tcPr>
            <w:tcW w:w="5276" w:type="dxa"/>
          </w:tcPr>
          <w:p w14:paraId="7E9FD25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 Medical Evidence (CMS-2728 Form)</w:t>
            </w:r>
          </w:p>
        </w:tc>
        <w:tc>
          <w:tcPr>
            <w:tcW w:w="2386" w:type="dxa"/>
          </w:tcPr>
          <w:p w14:paraId="5454486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1.088</w:t>
            </w:r>
          </w:p>
        </w:tc>
        <w:tc>
          <w:tcPr>
            <w:tcW w:w="2386" w:type="dxa"/>
          </w:tcPr>
          <w:p w14:paraId="4069EB9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1.038, 1.140</w:t>
            </w:r>
          </w:p>
        </w:tc>
      </w:tr>
      <w:tr w:rsidR="00233F1E" w14:paraId="5F4D0604" w14:textId="77777777">
        <w:trPr>
          <w:cantSplit/>
          <w:trHeight w:val="300"/>
        </w:trPr>
        <w:tc>
          <w:tcPr>
            <w:tcW w:w="5276" w:type="dxa"/>
          </w:tcPr>
          <w:p w14:paraId="4E9146C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Prevalent comorbidities</w:t>
            </w:r>
          </w:p>
        </w:tc>
        <w:tc>
          <w:tcPr>
            <w:tcW w:w="2386" w:type="dxa"/>
          </w:tcPr>
          <w:p w14:paraId="3654182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c>
          <w:tcPr>
            <w:tcW w:w="2386" w:type="dxa"/>
          </w:tcPr>
          <w:p w14:paraId="532F794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 </w:t>
            </w:r>
          </w:p>
        </w:tc>
      </w:tr>
      <w:tr w:rsidR="00233F1E" w14:paraId="72F3E1C4" w14:textId="77777777">
        <w:trPr>
          <w:cantSplit/>
          <w:trHeight w:val="300"/>
        </w:trPr>
        <w:tc>
          <w:tcPr>
            <w:tcW w:w="5276" w:type="dxa"/>
          </w:tcPr>
          <w:p w14:paraId="28ECA42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At least 6 months of Medicare Coverage in prior year</w:t>
            </w:r>
          </w:p>
        </w:tc>
        <w:tc>
          <w:tcPr>
            <w:tcW w:w="2386" w:type="dxa"/>
          </w:tcPr>
          <w:p w14:paraId="1961C70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0.727</w:t>
            </w:r>
          </w:p>
        </w:tc>
        <w:tc>
          <w:tcPr>
            <w:tcW w:w="2386" w:type="dxa"/>
          </w:tcPr>
          <w:p w14:paraId="571C479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0.613, 0.861</w:t>
            </w:r>
          </w:p>
        </w:tc>
      </w:tr>
      <w:tr w:rsidR="00233F1E" w14:paraId="7639A286" w14:textId="77777777">
        <w:trPr>
          <w:cantSplit/>
          <w:trHeight w:val="300"/>
        </w:trPr>
        <w:tc>
          <w:tcPr>
            <w:tcW w:w="5276" w:type="dxa"/>
          </w:tcPr>
          <w:p w14:paraId="112921F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Candidal esophagitis</w:t>
            </w:r>
          </w:p>
        </w:tc>
        <w:tc>
          <w:tcPr>
            <w:tcW w:w="2386" w:type="dxa"/>
          </w:tcPr>
          <w:p w14:paraId="720849F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0.957</w:t>
            </w:r>
          </w:p>
        </w:tc>
        <w:tc>
          <w:tcPr>
            <w:tcW w:w="2386" w:type="dxa"/>
          </w:tcPr>
          <w:p w14:paraId="430A1E4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0.733, 1.250</w:t>
            </w:r>
          </w:p>
        </w:tc>
      </w:tr>
      <w:tr w:rsidR="00233F1E" w14:paraId="583D2A2E" w14:textId="77777777">
        <w:trPr>
          <w:cantSplit/>
          <w:trHeight w:val="300"/>
        </w:trPr>
        <w:tc>
          <w:tcPr>
            <w:tcW w:w="5276" w:type="dxa"/>
          </w:tcPr>
          <w:p w14:paraId="1C1CE91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Sarcoidosis</w:t>
            </w:r>
          </w:p>
        </w:tc>
        <w:tc>
          <w:tcPr>
            <w:tcW w:w="2386" w:type="dxa"/>
          </w:tcPr>
          <w:p w14:paraId="1C27CFE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1.165</w:t>
            </w:r>
          </w:p>
        </w:tc>
        <w:tc>
          <w:tcPr>
            <w:tcW w:w="2386" w:type="dxa"/>
          </w:tcPr>
          <w:p w14:paraId="3E5EDC7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0.965, 1.407</w:t>
            </w:r>
          </w:p>
        </w:tc>
      </w:tr>
      <w:tr w:rsidR="00233F1E" w14:paraId="1B7A012D" w14:textId="77777777">
        <w:trPr>
          <w:cantSplit/>
          <w:trHeight w:val="300"/>
        </w:trPr>
        <w:tc>
          <w:tcPr>
            <w:tcW w:w="5276" w:type="dxa"/>
          </w:tcPr>
          <w:p w14:paraId="3D881C3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Cancer of Liver</w:t>
            </w:r>
          </w:p>
        </w:tc>
        <w:tc>
          <w:tcPr>
            <w:tcW w:w="2386" w:type="dxa"/>
          </w:tcPr>
          <w:p w14:paraId="29AEA32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1.234</w:t>
            </w:r>
          </w:p>
        </w:tc>
        <w:tc>
          <w:tcPr>
            <w:tcW w:w="2386" w:type="dxa"/>
          </w:tcPr>
          <w:p w14:paraId="2BB6B63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0.927, 1.643</w:t>
            </w:r>
          </w:p>
        </w:tc>
      </w:tr>
      <w:tr w:rsidR="00233F1E" w14:paraId="6B5BFC98" w14:textId="77777777">
        <w:trPr>
          <w:cantSplit/>
          <w:trHeight w:val="300"/>
        </w:trPr>
        <w:tc>
          <w:tcPr>
            <w:tcW w:w="5276" w:type="dxa"/>
          </w:tcPr>
          <w:p w14:paraId="328BEBF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Cancer of Lung</w:t>
            </w:r>
          </w:p>
        </w:tc>
        <w:tc>
          <w:tcPr>
            <w:tcW w:w="2386" w:type="dxa"/>
          </w:tcPr>
          <w:p w14:paraId="3CE8740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0.374</w:t>
            </w:r>
          </w:p>
        </w:tc>
        <w:tc>
          <w:tcPr>
            <w:tcW w:w="2386" w:type="dxa"/>
          </w:tcPr>
          <w:p w14:paraId="3CB79F0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0.249, 0.560</w:t>
            </w:r>
          </w:p>
        </w:tc>
      </w:tr>
      <w:tr w:rsidR="00233F1E" w14:paraId="678D04F3" w14:textId="77777777">
        <w:trPr>
          <w:cantSplit/>
          <w:trHeight w:val="300"/>
        </w:trPr>
        <w:tc>
          <w:tcPr>
            <w:tcW w:w="5276" w:type="dxa"/>
          </w:tcPr>
          <w:p w14:paraId="42F6508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Cancer of Bladder</w:t>
            </w:r>
          </w:p>
        </w:tc>
        <w:tc>
          <w:tcPr>
            <w:tcW w:w="2386" w:type="dxa"/>
          </w:tcPr>
          <w:p w14:paraId="7E7B0CF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0.784</w:t>
            </w:r>
          </w:p>
        </w:tc>
        <w:tc>
          <w:tcPr>
            <w:tcW w:w="2386" w:type="dxa"/>
          </w:tcPr>
          <w:p w14:paraId="51ACA6E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0.553, 1.111</w:t>
            </w:r>
          </w:p>
        </w:tc>
      </w:tr>
      <w:tr w:rsidR="00233F1E" w14:paraId="7BC1B000" w14:textId="77777777">
        <w:trPr>
          <w:cantSplit/>
          <w:trHeight w:val="300"/>
        </w:trPr>
        <w:tc>
          <w:tcPr>
            <w:tcW w:w="5276" w:type="dxa"/>
          </w:tcPr>
          <w:p w14:paraId="2803CE3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Cancer of Bone</w:t>
            </w:r>
          </w:p>
        </w:tc>
        <w:tc>
          <w:tcPr>
            <w:tcW w:w="2386" w:type="dxa"/>
          </w:tcPr>
          <w:p w14:paraId="350B226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0.202</w:t>
            </w:r>
          </w:p>
        </w:tc>
        <w:tc>
          <w:tcPr>
            <w:tcW w:w="2386" w:type="dxa"/>
          </w:tcPr>
          <w:p w14:paraId="0734482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0.101, 0.406</w:t>
            </w:r>
          </w:p>
        </w:tc>
      </w:tr>
      <w:tr w:rsidR="00233F1E" w14:paraId="00ACA1F8" w14:textId="77777777">
        <w:trPr>
          <w:cantSplit/>
          <w:trHeight w:val="300"/>
        </w:trPr>
        <w:tc>
          <w:tcPr>
            <w:tcW w:w="5276" w:type="dxa"/>
          </w:tcPr>
          <w:p w14:paraId="5089DF0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Other Neoplasm</w:t>
            </w:r>
          </w:p>
        </w:tc>
        <w:tc>
          <w:tcPr>
            <w:tcW w:w="2386" w:type="dxa"/>
          </w:tcPr>
          <w:p w14:paraId="543E8A5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0.942</w:t>
            </w:r>
          </w:p>
        </w:tc>
        <w:tc>
          <w:tcPr>
            <w:tcW w:w="2386" w:type="dxa"/>
          </w:tcPr>
          <w:p w14:paraId="7E4D907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0.754, 1.175</w:t>
            </w:r>
          </w:p>
        </w:tc>
      </w:tr>
      <w:tr w:rsidR="00233F1E" w14:paraId="4A8BBAF3" w14:textId="77777777">
        <w:trPr>
          <w:cantSplit/>
          <w:trHeight w:val="300"/>
        </w:trPr>
        <w:tc>
          <w:tcPr>
            <w:tcW w:w="5276" w:type="dxa"/>
          </w:tcPr>
          <w:p w14:paraId="79CE4E2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Non-Hodgkins Lymphoma</w:t>
            </w:r>
          </w:p>
        </w:tc>
        <w:tc>
          <w:tcPr>
            <w:tcW w:w="2386" w:type="dxa"/>
          </w:tcPr>
          <w:p w14:paraId="7A983A2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0.797</w:t>
            </w:r>
          </w:p>
        </w:tc>
        <w:tc>
          <w:tcPr>
            <w:tcW w:w="2386" w:type="dxa"/>
          </w:tcPr>
          <w:p w14:paraId="3CFCD53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0.589, 1.078</w:t>
            </w:r>
          </w:p>
        </w:tc>
      </w:tr>
      <w:tr w:rsidR="00233F1E" w14:paraId="18CE7EFB" w14:textId="77777777">
        <w:trPr>
          <w:cantSplit/>
          <w:trHeight w:val="300"/>
        </w:trPr>
        <w:tc>
          <w:tcPr>
            <w:tcW w:w="5276" w:type="dxa"/>
          </w:tcPr>
          <w:p w14:paraId="6D8FE9A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Multiple Myeloma</w:t>
            </w:r>
          </w:p>
        </w:tc>
        <w:tc>
          <w:tcPr>
            <w:tcW w:w="2386" w:type="dxa"/>
          </w:tcPr>
          <w:p w14:paraId="45044CD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0.571</w:t>
            </w:r>
          </w:p>
        </w:tc>
        <w:tc>
          <w:tcPr>
            <w:tcW w:w="2386" w:type="dxa"/>
          </w:tcPr>
          <w:p w14:paraId="5103C5F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0.461, 0.707</w:t>
            </w:r>
          </w:p>
        </w:tc>
      </w:tr>
      <w:tr w:rsidR="00233F1E" w14:paraId="66318FB4" w14:textId="77777777">
        <w:trPr>
          <w:cantSplit/>
          <w:trHeight w:val="300"/>
        </w:trPr>
        <w:tc>
          <w:tcPr>
            <w:tcW w:w="5276" w:type="dxa"/>
          </w:tcPr>
          <w:p w14:paraId="44EA2C6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Myelodysplastic Syndrome</w:t>
            </w:r>
          </w:p>
        </w:tc>
        <w:tc>
          <w:tcPr>
            <w:tcW w:w="2386" w:type="dxa"/>
          </w:tcPr>
          <w:p w14:paraId="66B5BD8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0.790</w:t>
            </w:r>
          </w:p>
        </w:tc>
        <w:tc>
          <w:tcPr>
            <w:tcW w:w="2386" w:type="dxa"/>
          </w:tcPr>
          <w:p w14:paraId="653610D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0.584, 1.069</w:t>
            </w:r>
          </w:p>
        </w:tc>
      </w:tr>
      <w:tr w:rsidR="00233F1E" w14:paraId="2B6413F8" w14:textId="77777777">
        <w:trPr>
          <w:cantSplit/>
          <w:trHeight w:val="300"/>
        </w:trPr>
        <w:tc>
          <w:tcPr>
            <w:tcW w:w="5276" w:type="dxa"/>
          </w:tcPr>
          <w:p w14:paraId="1662C6A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Diabetes without complications</w:t>
            </w:r>
          </w:p>
        </w:tc>
        <w:tc>
          <w:tcPr>
            <w:tcW w:w="2386" w:type="dxa"/>
          </w:tcPr>
          <w:p w14:paraId="666CD65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1.155</w:t>
            </w:r>
          </w:p>
        </w:tc>
        <w:tc>
          <w:tcPr>
            <w:tcW w:w="2386" w:type="dxa"/>
          </w:tcPr>
          <w:p w14:paraId="78673B8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1.108, 1.203</w:t>
            </w:r>
          </w:p>
        </w:tc>
      </w:tr>
      <w:tr w:rsidR="00233F1E" w14:paraId="04AD5332" w14:textId="77777777">
        <w:trPr>
          <w:cantSplit/>
          <w:trHeight w:val="300"/>
        </w:trPr>
        <w:tc>
          <w:tcPr>
            <w:tcW w:w="5276" w:type="dxa"/>
          </w:tcPr>
          <w:p w14:paraId="395EEE3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Diabetes with complications</w:t>
            </w:r>
          </w:p>
        </w:tc>
        <w:tc>
          <w:tcPr>
            <w:tcW w:w="2386" w:type="dxa"/>
          </w:tcPr>
          <w:p w14:paraId="09E61EC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1.159</w:t>
            </w:r>
          </w:p>
        </w:tc>
        <w:tc>
          <w:tcPr>
            <w:tcW w:w="2386" w:type="dxa"/>
          </w:tcPr>
          <w:p w14:paraId="5C38A8B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1.110, 1.211</w:t>
            </w:r>
          </w:p>
        </w:tc>
      </w:tr>
      <w:tr w:rsidR="00233F1E" w14:paraId="7E6AECB3" w14:textId="77777777">
        <w:trPr>
          <w:cantSplit/>
          <w:trHeight w:val="300"/>
        </w:trPr>
        <w:tc>
          <w:tcPr>
            <w:tcW w:w="5276" w:type="dxa"/>
          </w:tcPr>
          <w:p w14:paraId="085D490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Glucocorticoid deficiency</w:t>
            </w:r>
          </w:p>
        </w:tc>
        <w:tc>
          <w:tcPr>
            <w:tcW w:w="2386" w:type="dxa"/>
          </w:tcPr>
          <w:p w14:paraId="7DC8782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1.069</w:t>
            </w:r>
          </w:p>
        </w:tc>
        <w:tc>
          <w:tcPr>
            <w:tcW w:w="2386" w:type="dxa"/>
          </w:tcPr>
          <w:p w14:paraId="0EB6306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0.905, 1.262</w:t>
            </w:r>
          </w:p>
        </w:tc>
      </w:tr>
      <w:tr w:rsidR="00233F1E" w14:paraId="77D76638" w14:textId="77777777">
        <w:trPr>
          <w:cantSplit/>
          <w:trHeight w:val="300"/>
        </w:trPr>
        <w:tc>
          <w:tcPr>
            <w:tcW w:w="5276" w:type="dxa"/>
          </w:tcPr>
          <w:p w14:paraId="67078BB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Malnutrition / Cachexia</w:t>
            </w:r>
          </w:p>
        </w:tc>
        <w:tc>
          <w:tcPr>
            <w:tcW w:w="2386" w:type="dxa"/>
          </w:tcPr>
          <w:p w14:paraId="2787823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0.928</w:t>
            </w:r>
          </w:p>
        </w:tc>
        <w:tc>
          <w:tcPr>
            <w:tcW w:w="2386" w:type="dxa"/>
          </w:tcPr>
          <w:p w14:paraId="149A205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0.875, 0.984</w:t>
            </w:r>
          </w:p>
        </w:tc>
      </w:tr>
      <w:tr w:rsidR="00233F1E" w14:paraId="6B6162DC" w14:textId="77777777">
        <w:trPr>
          <w:cantSplit/>
          <w:trHeight w:val="300"/>
        </w:trPr>
        <w:tc>
          <w:tcPr>
            <w:tcW w:w="5276" w:type="dxa"/>
          </w:tcPr>
          <w:p w14:paraId="1D79708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Disorders of urea cycle metabolism</w:t>
            </w:r>
          </w:p>
        </w:tc>
        <w:tc>
          <w:tcPr>
            <w:tcW w:w="2386" w:type="dxa"/>
          </w:tcPr>
          <w:p w14:paraId="56DE9A0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0.753</w:t>
            </w:r>
          </w:p>
        </w:tc>
        <w:tc>
          <w:tcPr>
            <w:tcW w:w="2386" w:type="dxa"/>
          </w:tcPr>
          <w:p w14:paraId="34C7ADC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0.524, 1.082</w:t>
            </w:r>
          </w:p>
        </w:tc>
      </w:tr>
      <w:tr w:rsidR="00233F1E" w14:paraId="069889F8" w14:textId="77777777">
        <w:trPr>
          <w:cantSplit/>
          <w:trHeight w:val="300"/>
        </w:trPr>
        <w:tc>
          <w:tcPr>
            <w:tcW w:w="5276" w:type="dxa"/>
          </w:tcPr>
          <w:p w14:paraId="121A700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Other amyloidosis</w:t>
            </w:r>
          </w:p>
        </w:tc>
        <w:tc>
          <w:tcPr>
            <w:tcW w:w="2386" w:type="dxa"/>
          </w:tcPr>
          <w:p w14:paraId="1B48C22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1.165</w:t>
            </w:r>
          </w:p>
        </w:tc>
        <w:tc>
          <w:tcPr>
            <w:tcW w:w="2386" w:type="dxa"/>
          </w:tcPr>
          <w:p w14:paraId="514CB3B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0.860, 1.580</w:t>
            </w:r>
          </w:p>
        </w:tc>
      </w:tr>
      <w:tr w:rsidR="00233F1E" w14:paraId="5059B205" w14:textId="77777777">
        <w:trPr>
          <w:cantSplit/>
          <w:trHeight w:val="300"/>
        </w:trPr>
        <w:tc>
          <w:tcPr>
            <w:tcW w:w="5276" w:type="dxa"/>
          </w:tcPr>
          <w:p w14:paraId="24F1B1E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Other specified disorders of metabolism</w:t>
            </w:r>
          </w:p>
        </w:tc>
        <w:tc>
          <w:tcPr>
            <w:tcW w:w="2386" w:type="dxa"/>
          </w:tcPr>
          <w:p w14:paraId="6743D23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0.932</w:t>
            </w:r>
          </w:p>
        </w:tc>
        <w:tc>
          <w:tcPr>
            <w:tcW w:w="2386" w:type="dxa"/>
          </w:tcPr>
          <w:p w14:paraId="2FE3C71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0.815, 1.066</w:t>
            </w:r>
          </w:p>
        </w:tc>
      </w:tr>
      <w:tr w:rsidR="00233F1E" w14:paraId="397B0A9F" w14:textId="77777777">
        <w:trPr>
          <w:cantSplit/>
          <w:trHeight w:val="300"/>
        </w:trPr>
        <w:tc>
          <w:tcPr>
            <w:tcW w:w="5276" w:type="dxa"/>
          </w:tcPr>
          <w:p w14:paraId="1C0F3C8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Sickle-cell Anemia</w:t>
            </w:r>
          </w:p>
        </w:tc>
        <w:tc>
          <w:tcPr>
            <w:tcW w:w="2386" w:type="dxa"/>
          </w:tcPr>
          <w:p w14:paraId="0F9241F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0.756</w:t>
            </w:r>
          </w:p>
        </w:tc>
        <w:tc>
          <w:tcPr>
            <w:tcW w:w="2386" w:type="dxa"/>
          </w:tcPr>
          <w:p w14:paraId="78FA682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0.566, 1.008</w:t>
            </w:r>
          </w:p>
        </w:tc>
      </w:tr>
      <w:tr w:rsidR="00233F1E" w14:paraId="418CB6B2" w14:textId="77777777">
        <w:trPr>
          <w:cantSplit/>
          <w:trHeight w:val="300"/>
        </w:trPr>
        <w:tc>
          <w:tcPr>
            <w:tcW w:w="5276" w:type="dxa"/>
          </w:tcPr>
          <w:p w14:paraId="405336E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Pancytopenia</w:t>
            </w:r>
          </w:p>
        </w:tc>
        <w:tc>
          <w:tcPr>
            <w:tcW w:w="2386" w:type="dxa"/>
          </w:tcPr>
          <w:p w14:paraId="536D034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0.978</w:t>
            </w:r>
          </w:p>
        </w:tc>
        <w:tc>
          <w:tcPr>
            <w:tcW w:w="2386" w:type="dxa"/>
          </w:tcPr>
          <w:p w14:paraId="18243ED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0.887, 1.078</w:t>
            </w:r>
          </w:p>
        </w:tc>
      </w:tr>
      <w:tr w:rsidR="00233F1E" w14:paraId="0B21527E" w14:textId="77777777">
        <w:trPr>
          <w:cantSplit/>
          <w:trHeight w:val="300"/>
        </w:trPr>
        <w:tc>
          <w:tcPr>
            <w:tcW w:w="5276" w:type="dxa"/>
          </w:tcPr>
          <w:p w14:paraId="4E49A1A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Neutropenia</w:t>
            </w:r>
          </w:p>
        </w:tc>
        <w:tc>
          <w:tcPr>
            <w:tcW w:w="2386" w:type="dxa"/>
          </w:tcPr>
          <w:p w14:paraId="79CB7F7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1.372</w:t>
            </w:r>
          </w:p>
        </w:tc>
        <w:tc>
          <w:tcPr>
            <w:tcW w:w="2386" w:type="dxa"/>
          </w:tcPr>
          <w:p w14:paraId="0EE53B5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1.169, 1.609</w:t>
            </w:r>
          </w:p>
        </w:tc>
      </w:tr>
      <w:tr w:rsidR="00233F1E" w14:paraId="4B8BA747" w14:textId="77777777">
        <w:trPr>
          <w:cantSplit/>
          <w:trHeight w:val="300"/>
        </w:trPr>
        <w:tc>
          <w:tcPr>
            <w:tcW w:w="5276" w:type="dxa"/>
          </w:tcPr>
          <w:p w14:paraId="18666AD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Substance Related Disorders</w:t>
            </w:r>
          </w:p>
        </w:tc>
        <w:tc>
          <w:tcPr>
            <w:tcW w:w="2386" w:type="dxa"/>
          </w:tcPr>
          <w:p w14:paraId="2C1E77E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0.751</w:t>
            </w:r>
          </w:p>
        </w:tc>
        <w:tc>
          <w:tcPr>
            <w:tcW w:w="2386" w:type="dxa"/>
          </w:tcPr>
          <w:p w14:paraId="27E9B32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0.583, 0.967</w:t>
            </w:r>
          </w:p>
        </w:tc>
      </w:tr>
      <w:tr w:rsidR="00233F1E" w14:paraId="443870BD" w14:textId="77777777">
        <w:trPr>
          <w:cantSplit/>
          <w:trHeight w:val="300"/>
        </w:trPr>
        <w:tc>
          <w:tcPr>
            <w:tcW w:w="5276" w:type="dxa"/>
          </w:tcPr>
          <w:p w14:paraId="479D382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Opioid Dependence</w:t>
            </w:r>
          </w:p>
        </w:tc>
        <w:tc>
          <w:tcPr>
            <w:tcW w:w="2386" w:type="dxa"/>
          </w:tcPr>
          <w:p w14:paraId="757FA5C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0.708</w:t>
            </w:r>
          </w:p>
        </w:tc>
        <w:tc>
          <w:tcPr>
            <w:tcW w:w="2386" w:type="dxa"/>
          </w:tcPr>
          <w:p w14:paraId="3D06AD7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0.622, 0.806</w:t>
            </w:r>
          </w:p>
        </w:tc>
      </w:tr>
      <w:tr w:rsidR="00233F1E" w14:paraId="2E0B53C7" w14:textId="77777777">
        <w:trPr>
          <w:cantSplit/>
          <w:trHeight w:val="300"/>
        </w:trPr>
        <w:tc>
          <w:tcPr>
            <w:tcW w:w="5276" w:type="dxa"/>
          </w:tcPr>
          <w:p w14:paraId="4449CE5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Schizophrenia</w:t>
            </w:r>
          </w:p>
        </w:tc>
        <w:tc>
          <w:tcPr>
            <w:tcW w:w="2386" w:type="dxa"/>
          </w:tcPr>
          <w:p w14:paraId="5E7DA49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0.311</w:t>
            </w:r>
          </w:p>
        </w:tc>
        <w:tc>
          <w:tcPr>
            <w:tcW w:w="2386" w:type="dxa"/>
          </w:tcPr>
          <w:p w14:paraId="1521000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0.226, 0.429</w:t>
            </w:r>
          </w:p>
        </w:tc>
      </w:tr>
      <w:tr w:rsidR="00233F1E" w14:paraId="14781971" w14:textId="77777777">
        <w:trPr>
          <w:cantSplit/>
          <w:trHeight w:val="300"/>
        </w:trPr>
        <w:tc>
          <w:tcPr>
            <w:tcW w:w="5276" w:type="dxa"/>
          </w:tcPr>
          <w:p w14:paraId="0399D27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Peripheral autonomic neuropathy in disorders classified elsewhere</w:t>
            </w:r>
          </w:p>
        </w:tc>
        <w:tc>
          <w:tcPr>
            <w:tcW w:w="2386" w:type="dxa"/>
          </w:tcPr>
          <w:p w14:paraId="3F2BB23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0.734</w:t>
            </w:r>
          </w:p>
        </w:tc>
        <w:tc>
          <w:tcPr>
            <w:tcW w:w="2386" w:type="dxa"/>
          </w:tcPr>
          <w:p w14:paraId="0A5FB38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0.498, 1.081</w:t>
            </w:r>
          </w:p>
        </w:tc>
      </w:tr>
      <w:tr w:rsidR="00233F1E" w14:paraId="7D28E8E2" w14:textId="77777777">
        <w:trPr>
          <w:cantSplit/>
          <w:trHeight w:val="300"/>
        </w:trPr>
        <w:tc>
          <w:tcPr>
            <w:tcW w:w="5276" w:type="dxa"/>
          </w:tcPr>
          <w:p w14:paraId="5E74C92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Epilepsy</w:t>
            </w:r>
          </w:p>
        </w:tc>
        <w:tc>
          <w:tcPr>
            <w:tcW w:w="2386" w:type="dxa"/>
          </w:tcPr>
          <w:p w14:paraId="4155095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0.742</w:t>
            </w:r>
          </w:p>
        </w:tc>
        <w:tc>
          <w:tcPr>
            <w:tcW w:w="2386" w:type="dxa"/>
          </w:tcPr>
          <w:p w14:paraId="7653852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0.693, 0.796</w:t>
            </w:r>
          </w:p>
        </w:tc>
      </w:tr>
      <w:tr w:rsidR="00233F1E" w14:paraId="599C5B81" w14:textId="77777777">
        <w:trPr>
          <w:cantSplit/>
          <w:trHeight w:val="300"/>
        </w:trPr>
        <w:tc>
          <w:tcPr>
            <w:tcW w:w="5276" w:type="dxa"/>
          </w:tcPr>
          <w:p w14:paraId="257B28B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Bipolar Disorder</w:t>
            </w:r>
          </w:p>
        </w:tc>
        <w:tc>
          <w:tcPr>
            <w:tcW w:w="2386" w:type="dxa"/>
          </w:tcPr>
          <w:p w14:paraId="00D54BF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0.808</w:t>
            </w:r>
          </w:p>
        </w:tc>
        <w:tc>
          <w:tcPr>
            <w:tcW w:w="2386" w:type="dxa"/>
          </w:tcPr>
          <w:p w14:paraId="11CF527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0.709, 0.920</w:t>
            </w:r>
          </w:p>
        </w:tc>
      </w:tr>
      <w:tr w:rsidR="00233F1E" w14:paraId="7305A3C0" w14:textId="77777777">
        <w:trPr>
          <w:cantSplit/>
          <w:trHeight w:val="300"/>
        </w:trPr>
        <w:tc>
          <w:tcPr>
            <w:tcW w:w="5276" w:type="dxa"/>
          </w:tcPr>
          <w:p w14:paraId="5E6F3DE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Major depressive affective disorder</w:t>
            </w:r>
          </w:p>
        </w:tc>
        <w:tc>
          <w:tcPr>
            <w:tcW w:w="2386" w:type="dxa"/>
          </w:tcPr>
          <w:p w14:paraId="6CA623B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0.839</w:t>
            </w:r>
          </w:p>
        </w:tc>
        <w:tc>
          <w:tcPr>
            <w:tcW w:w="2386" w:type="dxa"/>
          </w:tcPr>
          <w:p w14:paraId="3CB47BF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0.802, 0.879</w:t>
            </w:r>
          </w:p>
        </w:tc>
      </w:tr>
      <w:tr w:rsidR="00233F1E" w14:paraId="5FD870C5" w14:textId="77777777">
        <w:trPr>
          <w:cantSplit/>
          <w:trHeight w:val="300"/>
        </w:trPr>
        <w:tc>
          <w:tcPr>
            <w:tcW w:w="5276" w:type="dxa"/>
          </w:tcPr>
          <w:p w14:paraId="3A67ECD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Alcohol Related Disorders</w:t>
            </w:r>
          </w:p>
        </w:tc>
        <w:tc>
          <w:tcPr>
            <w:tcW w:w="2386" w:type="dxa"/>
          </w:tcPr>
          <w:p w14:paraId="3FF5EA1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1.052</w:t>
            </w:r>
          </w:p>
        </w:tc>
        <w:tc>
          <w:tcPr>
            <w:tcW w:w="2386" w:type="dxa"/>
          </w:tcPr>
          <w:p w14:paraId="58235DF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0.895, 1.236</w:t>
            </w:r>
          </w:p>
        </w:tc>
      </w:tr>
      <w:tr w:rsidR="00233F1E" w14:paraId="3F5CFEF4" w14:textId="77777777">
        <w:trPr>
          <w:cantSplit/>
          <w:trHeight w:val="300"/>
        </w:trPr>
        <w:tc>
          <w:tcPr>
            <w:tcW w:w="5276" w:type="dxa"/>
          </w:tcPr>
          <w:p w14:paraId="0D6B1D9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Coma</w:t>
            </w:r>
          </w:p>
        </w:tc>
        <w:tc>
          <w:tcPr>
            <w:tcW w:w="2386" w:type="dxa"/>
          </w:tcPr>
          <w:p w14:paraId="615A220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0.900</w:t>
            </w:r>
          </w:p>
        </w:tc>
        <w:tc>
          <w:tcPr>
            <w:tcW w:w="2386" w:type="dxa"/>
          </w:tcPr>
          <w:p w14:paraId="59D79AD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0.704, 1.150</w:t>
            </w:r>
          </w:p>
        </w:tc>
      </w:tr>
      <w:tr w:rsidR="00233F1E" w14:paraId="440F1346" w14:textId="77777777">
        <w:trPr>
          <w:cantSplit/>
          <w:trHeight w:val="300"/>
        </w:trPr>
        <w:tc>
          <w:tcPr>
            <w:tcW w:w="5276" w:type="dxa"/>
          </w:tcPr>
          <w:p w14:paraId="6DADBB5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Cerebral edema</w:t>
            </w:r>
          </w:p>
        </w:tc>
        <w:tc>
          <w:tcPr>
            <w:tcW w:w="2386" w:type="dxa"/>
          </w:tcPr>
          <w:p w14:paraId="3CF8FD9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1.174</w:t>
            </w:r>
          </w:p>
        </w:tc>
        <w:tc>
          <w:tcPr>
            <w:tcW w:w="2386" w:type="dxa"/>
          </w:tcPr>
          <w:p w14:paraId="3725E6A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0.838, 1.644</w:t>
            </w:r>
          </w:p>
        </w:tc>
      </w:tr>
      <w:tr w:rsidR="00233F1E" w14:paraId="2F6CD141" w14:textId="77777777">
        <w:trPr>
          <w:cantSplit/>
          <w:trHeight w:val="300"/>
        </w:trPr>
        <w:tc>
          <w:tcPr>
            <w:tcW w:w="5276" w:type="dxa"/>
          </w:tcPr>
          <w:p w14:paraId="1163468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Myocardial Infarction</w:t>
            </w:r>
          </w:p>
        </w:tc>
        <w:tc>
          <w:tcPr>
            <w:tcW w:w="2386" w:type="dxa"/>
          </w:tcPr>
          <w:p w14:paraId="2894E08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0.695</w:t>
            </w:r>
          </w:p>
        </w:tc>
        <w:tc>
          <w:tcPr>
            <w:tcW w:w="2386" w:type="dxa"/>
          </w:tcPr>
          <w:p w14:paraId="7275E20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0.639, 0.757</w:t>
            </w:r>
          </w:p>
        </w:tc>
      </w:tr>
      <w:tr w:rsidR="00233F1E" w14:paraId="5E2641C1" w14:textId="77777777">
        <w:trPr>
          <w:cantSplit/>
          <w:trHeight w:val="300"/>
        </w:trPr>
        <w:tc>
          <w:tcPr>
            <w:tcW w:w="5276" w:type="dxa"/>
          </w:tcPr>
          <w:p w14:paraId="7CA472C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Coronary Atherosclerosis</w:t>
            </w:r>
          </w:p>
        </w:tc>
        <w:tc>
          <w:tcPr>
            <w:tcW w:w="2386" w:type="dxa"/>
          </w:tcPr>
          <w:p w14:paraId="4BD3C65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1.028</w:t>
            </w:r>
          </w:p>
        </w:tc>
        <w:tc>
          <w:tcPr>
            <w:tcW w:w="2386" w:type="dxa"/>
          </w:tcPr>
          <w:p w14:paraId="166C91E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0.970, 1.090</w:t>
            </w:r>
          </w:p>
        </w:tc>
      </w:tr>
      <w:tr w:rsidR="00233F1E" w14:paraId="04A7F2E3" w14:textId="77777777">
        <w:trPr>
          <w:cantSplit/>
          <w:trHeight w:val="300"/>
        </w:trPr>
        <w:tc>
          <w:tcPr>
            <w:tcW w:w="5276" w:type="dxa"/>
          </w:tcPr>
          <w:p w14:paraId="7CB5661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pulmonary embolism and infarction</w:t>
            </w:r>
          </w:p>
        </w:tc>
        <w:tc>
          <w:tcPr>
            <w:tcW w:w="2386" w:type="dxa"/>
          </w:tcPr>
          <w:p w14:paraId="561AB6E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0.960</w:t>
            </w:r>
          </w:p>
        </w:tc>
        <w:tc>
          <w:tcPr>
            <w:tcW w:w="2386" w:type="dxa"/>
          </w:tcPr>
          <w:p w14:paraId="59E6C1D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0.839, 1.097</w:t>
            </w:r>
          </w:p>
        </w:tc>
      </w:tr>
      <w:tr w:rsidR="00233F1E" w14:paraId="6CECF630" w14:textId="77777777">
        <w:trPr>
          <w:cantSplit/>
          <w:trHeight w:val="300"/>
        </w:trPr>
        <w:tc>
          <w:tcPr>
            <w:tcW w:w="5276" w:type="dxa"/>
          </w:tcPr>
          <w:p w14:paraId="3A1D996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Primary pulmonary hypertension</w:t>
            </w:r>
          </w:p>
        </w:tc>
        <w:tc>
          <w:tcPr>
            <w:tcW w:w="2386" w:type="dxa"/>
          </w:tcPr>
          <w:p w14:paraId="1C92BAF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0.807</w:t>
            </w:r>
          </w:p>
        </w:tc>
        <w:tc>
          <w:tcPr>
            <w:tcW w:w="2386" w:type="dxa"/>
          </w:tcPr>
          <w:p w14:paraId="441B789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0.673, 0.967</w:t>
            </w:r>
          </w:p>
        </w:tc>
      </w:tr>
      <w:tr w:rsidR="00233F1E" w14:paraId="56233DD5" w14:textId="77777777">
        <w:trPr>
          <w:cantSplit/>
          <w:trHeight w:val="300"/>
        </w:trPr>
        <w:tc>
          <w:tcPr>
            <w:tcW w:w="5276" w:type="dxa"/>
          </w:tcPr>
          <w:p w14:paraId="59AD936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Pulmonary Heart Disease</w:t>
            </w:r>
          </w:p>
        </w:tc>
        <w:tc>
          <w:tcPr>
            <w:tcW w:w="2386" w:type="dxa"/>
          </w:tcPr>
          <w:p w14:paraId="72FC11D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0.915</w:t>
            </w:r>
          </w:p>
        </w:tc>
        <w:tc>
          <w:tcPr>
            <w:tcW w:w="2386" w:type="dxa"/>
          </w:tcPr>
          <w:p w14:paraId="4B45F70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0.859, 0.974</w:t>
            </w:r>
          </w:p>
        </w:tc>
      </w:tr>
      <w:tr w:rsidR="00233F1E" w14:paraId="7EA5182A" w14:textId="77777777">
        <w:trPr>
          <w:cantSplit/>
          <w:trHeight w:val="300"/>
        </w:trPr>
        <w:tc>
          <w:tcPr>
            <w:tcW w:w="5276" w:type="dxa"/>
          </w:tcPr>
          <w:p w14:paraId="2107F03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Cardiomyopathy</w:t>
            </w:r>
          </w:p>
        </w:tc>
        <w:tc>
          <w:tcPr>
            <w:tcW w:w="2386" w:type="dxa"/>
          </w:tcPr>
          <w:p w14:paraId="4898488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0.902</w:t>
            </w:r>
          </w:p>
        </w:tc>
        <w:tc>
          <w:tcPr>
            <w:tcW w:w="2386" w:type="dxa"/>
          </w:tcPr>
          <w:p w14:paraId="152319E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0.854, 0.953</w:t>
            </w:r>
          </w:p>
        </w:tc>
      </w:tr>
      <w:tr w:rsidR="00233F1E" w14:paraId="5D4E10B4" w14:textId="77777777">
        <w:trPr>
          <w:cantSplit/>
          <w:trHeight w:val="300"/>
        </w:trPr>
        <w:tc>
          <w:tcPr>
            <w:tcW w:w="5276" w:type="dxa"/>
          </w:tcPr>
          <w:p w14:paraId="1E9D096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Atrioventricular block, complete</w:t>
            </w:r>
          </w:p>
        </w:tc>
        <w:tc>
          <w:tcPr>
            <w:tcW w:w="2386" w:type="dxa"/>
          </w:tcPr>
          <w:p w14:paraId="097DAD7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0.731</w:t>
            </w:r>
          </w:p>
        </w:tc>
        <w:tc>
          <w:tcPr>
            <w:tcW w:w="2386" w:type="dxa"/>
          </w:tcPr>
          <w:p w14:paraId="3574CFA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0.582, 0.917</w:t>
            </w:r>
          </w:p>
        </w:tc>
      </w:tr>
      <w:tr w:rsidR="00233F1E" w14:paraId="11E2BD53" w14:textId="77777777">
        <w:trPr>
          <w:cantSplit/>
          <w:trHeight w:val="300"/>
        </w:trPr>
        <w:tc>
          <w:tcPr>
            <w:tcW w:w="5276" w:type="dxa"/>
          </w:tcPr>
          <w:p w14:paraId="16E3B29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Paroxysmal Tachycardia</w:t>
            </w:r>
          </w:p>
        </w:tc>
        <w:tc>
          <w:tcPr>
            <w:tcW w:w="2386" w:type="dxa"/>
          </w:tcPr>
          <w:p w14:paraId="3847259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0.849</w:t>
            </w:r>
          </w:p>
        </w:tc>
        <w:tc>
          <w:tcPr>
            <w:tcW w:w="2386" w:type="dxa"/>
          </w:tcPr>
          <w:p w14:paraId="1C7A10C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0.754, 0.955</w:t>
            </w:r>
          </w:p>
        </w:tc>
      </w:tr>
      <w:tr w:rsidR="00233F1E" w14:paraId="26093F7C" w14:textId="77777777">
        <w:trPr>
          <w:cantSplit/>
          <w:trHeight w:val="300"/>
        </w:trPr>
        <w:tc>
          <w:tcPr>
            <w:tcW w:w="5276" w:type="dxa"/>
          </w:tcPr>
          <w:p w14:paraId="4285C58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Atrial fibrillation</w:t>
            </w:r>
          </w:p>
        </w:tc>
        <w:tc>
          <w:tcPr>
            <w:tcW w:w="2386" w:type="dxa"/>
          </w:tcPr>
          <w:p w14:paraId="20F6FA7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0.822</w:t>
            </w:r>
          </w:p>
        </w:tc>
        <w:tc>
          <w:tcPr>
            <w:tcW w:w="2386" w:type="dxa"/>
          </w:tcPr>
          <w:p w14:paraId="3DF2C8A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0.778, 0.868</w:t>
            </w:r>
          </w:p>
        </w:tc>
      </w:tr>
      <w:tr w:rsidR="00233F1E" w14:paraId="57BE79EB" w14:textId="77777777">
        <w:trPr>
          <w:cantSplit/>
          <w:trHeight w:val="300"/>
        </w:trPr>
        <w:tc>
          <w:tcPr>
            <w:tcW w:w="5276" w:type="dxa"/>
          </w:tcPr>
          <w:p w14:paraId="4BD5391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Atrial flutter</w:t>
            </w:r>
          </w:p>
        </w:tc>
        <w:tc>
          <w:tcPr>
            <w:tcW w:w="2386" w:type="dxa"/>
          </w:tcPr>
          <w:p w14:paraId="4DFBCDF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0.891</w:t>
            </w:r>
          </w:p>
        </w:tc>
        <w:tc>
          <w:tcPr>
            <w:tcW w:w="2386" w:type="dxa"/>
          </w:tcPr>
          <w:p w14:paraId="5018854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0.792, 1.001</w:t>
            </w:r>
          </w:p>
        </w:tc>
      </w:tr>
      <w:tr w:rsidR="00233F1E" w14:paraId="25F05C7B" w14:textId="77777777">
        <w:trPr>
          <w:cantSplit/>
          <w:trHeight w:val="300"/>
        </w:trPr>
        <w:tc>
          <w:tcPr>
            <w:tcW w:w="5276" w:type="dxa"/>
          </w:tcPr>
          <w:p w14:paraId="415806E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Acute Cerebrovascular Disease</w:t>
            </w:r>
          </w:p>
        </w:tc>
        <w:tc>
          <w:tcPr>
            <w:tcW w:w="2386" w:type="dxa"/>
          </w:tcPr>
          <w:p w14:paraId="690CF61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0.845</w:t>
            </w:r>
          </w:p>
        </w:tc>
        <w:tc>
          <w:tcPr>
            <w:tcW w:w="2386" w:type="dxa"/>
          </w:tcPr>
          <w:p w14:paraId="314B044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0.775, 0.921</w:t>
            </w:r>
          </w:p>
        </w:tc>
      </w:tr>
      <w:tr w:rsidR="00233F1E" w14:paraId="44A06E4B" w14:textId="77777777">
        <w:trPr>
          <w:cantSplit/>
          <w:trHeight w:val="300"/>
        </w:trPr>
        <w:tc>
          <w:tcPr>
            <w:tcW w:w="5276" w:type="dxa"/>
          </w:tcPr>
          <w:p w14:paraId="1118AD1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Peripheral and Visceral Atherosclerosis</w:t>
            </w:r>
          </w:p>
        </w:tc>
        <w:tc>
          <w:tcPr>
            <w:tcW w:w="2386" w:type="dxa"/>
          </w:tcPr>
          <w:p w14:paraId="7AB5B72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0.865</w:t>
            </w:r>
          </w:p>
        </w:tc>
        <w:tc>
          <w:tcPr>
            <w:tcW w:w="2386" w:type="dxa"/>
          </w:tcPr>
          <w:p w14:paraId="284044E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0.826, 0.906</w:t>
            </w:r>
          </w:p>
        </w:tc>
      </w:tr>
      <w:tr w:rsidR="00233F1E" w14:paraId="1FDE25C0" w14:textId="77777777">
        <w:trPr>
          <w:cantSplit/>
          <w:trHeight w:val="300"/>
        </w:trPr>
        <w:tc>
          <w:tcPr>
            <w:tcW w:w="5276" w:type="dxa"/>
          </w:tcPr>
          <w:p w14:paraId="59B4104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Venous Thromboembolism</w:t>
            </w:r>
          </w:p>
        </w:tc>
        <w:tc>
          <w:tcPr>
            <w:tcW w:w="2386" w:type="dxa"/>
          </w:tcPr>
          <w:p w14:paraId="6BE2711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0.966</w:t>
            </w:r>
          </w:p>
        </w:tc>
        <w:tc>
          <w:tcPr>
            <w:tcW w:w="2386" w:type="dxa"/>
          </w:tcPr>
          <w:p w14:paraId="6919DA7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0.886, 1.054</w:t>
            </w:r>
          </w:p>
        </w:tc>
      </w:tr>
      <w:tr w:rsidR="00233F1E" w14:paraId="726115E7" w14:textId="77777777">
        <w:trPr>
          <w:cantSplit/>
          <w:trHeight w:val="300"/>
        </w:trPr>
        <w:tc>
          <w:tcPr>
            <w:tcW w:w="5276" w:type="dxa"/>
          </w:tcPr>
          <w:p w14:paraId="285B048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Esophageal varices</w:t>
            </w:r>
          </w:p>
        </w:tc>
        <w:tc>
          <w:tcPr>
            <w:tcW w:w="2386" w:type="dxa"/>
          </w:tcPr>
          <w:p w14:paraId="46C9775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2.122</w:t>
            </w:r>
          </w:p>
        </w:tc>
        <w:tc>
          <w:tcPr>
            <w:tcW w:w="2386" w:type="dxa"/>
          </w:tcPr>
          <w:p w14:paraId="39F4760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1.692, 2.660</w:t>
            </w:r>
          </w:p>
        </w:tc>
      </w:tr>
      <w:tr w:rsidR="00233F1E" w14:paraId="65B835F4" w14:textId="77777777">
        <w:trPr>
          <w:cantSplit/>
          <w:trHeight w:val="300"/>
        </w:trPr>
        <w:tc>
          <w:tcPr>
            <w:tcW w:w="5276" w:type="dxa"/>
          </w:tcPr>
          <w:p w14:paraId="1192289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Chronic Obstructive Pulmonary Disease</w:t>
            </w:r>
          </w:p>
        </w:tc>
        <w:tc>
          <w:tcPr>
            <w:tcW w:w="2386" w:type="dxa"/>
          </w:tcPr>
          <w:p w14:paraId="2F2B210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0.602</w:t>
            </w:r>
          </w:p>
        </w:tc>
        <w:tc>
          <w:tcPr>
            <w:tcW w:w="2386" w:type="dxa"/>
          </w:tcPr>
          <w:p w14:paraId="249E3DD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0.568, 0.638</w:t>
            </w:r>
          </w:p>
        </w:tc>
      </w:tr>
      <w:tr w:rsidR="00233F1E" w14:paraId="27A51A68" w14:textId="77777777">
        <w:trPr>
          <w:cantSplit/>
          <w:trHeight w:val="300"/>
        </w:trPr>
        <w:tc>
          <w:tcPr>
            <w:tcW w:w="5276" w:type="dxa"/>
          </w:tcPr>
          <w:p w14:paraId="66FAB65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Aspiration Pneumonitis</w:t>
            </w:r>
          </w:p>
        </w:tc>
        <w:tc>
          <w:tcPr>
            <w:tcW w:w="2386" w:type="dxa"/>
          </w:tcPr>
          <w:p w14:paraId="3B322C9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0.965</w:t>
            </w:r>
          </w:p>
        </w:tc>
        <w:tc>
          <w:tcPr>
            <w:tcW w:w="2386" w:type="dxa"/>
          </w:tcPr>
          <w:p w14:paraId="0EE5F99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0.827, 1.127</w:t>
            </w:r>
          </w:p>
        </w:tc>
      </w:tr>
      <w:tr w:rsidR="00233F1E" w14:paraId="1BCC2559" w14:textId="77777777">
        <w:trPr>
          <w:cantSplit/>
          <w:trHeight w:val="300"/>
        </w:trPr>
        <w:tc>
          <w:tcPr>
            <w:tcW w:w="5276" w:type="dxa"/>
          </w:tcPr>
          <w:p w14:paraId="03F2C7A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Other Lower Respiratory Diseases</w:t>
            </w:r>
          </w:p>
        </w:tc>
        <w:tc>
          <w:tcPr>
            <w:tcW w:w="2386" w:type="dxa"/>
          </w:tcPr>
          <w:p w14:paraId="13E0EF5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1.348</w:t>
            </w:r>
          </w:p>
        </w:tc>
        <w:tc>
          <w:tcPr>
            <w:tcW w:w="2386" w:type="dxa"/>
          </w:tcPr>
          <w:p w14:paraId="37498DA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1.137, 1.597</w:t>
            </w:r>
          </w:p>
        </w:tc>
      </w:tr>
      <w:tr w:rsidR="00233F1E" w14:paraId="28BD7336" w14:textId="77777777">
        <w:trPr>
          <w:cantSplit/>
          <w:trHeight w:val="300"/>
        </w:trPr>
        <w:tc>
          <w:tcPr>
            <w:tcW w:w="5276" w:type="dxa"/>
          </w:tcPr>
          <w:p w14:paraId="01C18D7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Respiratory Failure</w:t>
            </w:r>
          </w:p>
        </w:tc>
        <w:tc>
          <w:tcPr>
            <w:tcW w:w="2386" w:type="dxa"/>
          </w:tcPr>
          <w:p w14:paraId="795CE8A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0.801</w:t>
            </w:r>
          </w:p>
        </w:tc>
        <w:tc>
          <w:tcPr>
            <w:tcW w:w="2386" w:type="dxa"/>
          </w:tcPr>
          <w:p w14:paraId="7C56CB2D"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0.757, 0.847</w:t>
            </w:r>
          </w:p>
        </w:tc>
      </w:tr>
      <w:tr w:rsidR="00233F1E" w14:paraId="4143C118" w14:textId="77777777">
        <w:trPr>
          <w:cantSplit/>
          <w:trHeight w:val="300"/>
        </w:trPr>
        <w:tc>
          <w:tcPr>
            <w:tcW w:w="5276" w:type="dxa"/>
          </w:tcPr>
          <w:p w14:paraId="06F9ADD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Cirrhosis of Liver</w:t>
            </w:r>
          </w:p>
        </w:tc>
        <w:tc>
          <w:tcPr>
            <w:tcW w:w="2386" w:type="dxa"/>
          </w:tcPr>
          <w:p w14:paraId="338E048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1.035</w:t>
            </w:r>
          </w:p>
        </w:tc>
        <w:tc>
          <w:tcPr>
            <w:tcW w:w="2386" w:type="dxa"/>
          </w:tcPr>
          <w:p w14:paraId="6A51054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0.941, 1.137</w:t>
            </w:r>
          </w:p>
        </w:tc>
      </w:tr>
      <w:tr w:rsidR="00233F1E" w14:paraId="51267EEC" w14:textId="77777777">
        <w:trPr>
          <w:cantSplit/>
          <w:trHeight w:val="300"/>
        </w:trPr>
        <w:tc>
          <w:tcPr>
            <w:tcW w:w="5276" w:type="dxa"/>
          </w:tcPr>
          <w:p w14:paraId="5F5382D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Other Liver Disease</w:t>
            </w:r>
          </w:p>
        </w:tc>
        <w:tc>
          <w:tcPr>
            <w:tcW w:w="2386" w:type="dxa"/>
          </w:tcPr>
          <w:p w14:paraId="21CE889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1.268</w:t>
            </w:r>
          </w:p>
        </w:tc>
        <w:tc>
          <w:tcPr>
            <w:tcW w:w="2386" w:type="dxa"/>
          </w:tcPr>
          <w:p w14:paraId="0B5B85B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1.107, 1.454</w:t>
            </w:r>
          </w:p>
        </w:tc>
      </w:tr>
      <w:tr w:rsidR="00233F1E" w14:paraId="4B2F4035" w14:textId="77777777">
        <w:trPr>
          <w:cantSplit/>
          <w:trHeight w:val="300"/>
        </w:trPr>
        <w:tc>
          <w:tcPr>
            <w:tcW w:w="5276" w:type="dxa"/>
          </w:tcPr>
          <w:p w14:paraId="4CE006B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Pancreatitis</w:t>
            </w:r>
          </w:p>
        </w:tc>
        <w:tc>
          <w:tcPr>
            <w:tcW w:w="2386" w:type="dxa"/>
          </w:tcPr>
          <w:p w14:paraId="496E724C"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0.821</w:t>
            </w:r>
          </w:p>
        </w:tc>
        <w:tc>
          <w:tcPr>
            <w:tcW w:w="2386" w:type="dxa"/>
          </w:tcPr>
          <w:p w14:paraId="2D23A2F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0.701, 0.961</w:t>
            </w:r>
          </w:p>
        </w:tc>
      </w:tr>
      <w:tr w:rsidR="00233F1E" w14:paraId="6188C015" w14:textId="77777777">
        <w:trPr>
          <w:cantSplit/>
          <w:trHeight w:val="300"/>
        </w:trPr>
        <w:tc>
          <w:tcPr>
            <w:tcW w:w="5276" w:type="dxa"/>
          </w:tcPr>
          <w:p w14:paraId="6EBF1BB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Chronic Skin Ulcer</w:t>
            </w:r>
          </w:p>
        </w:tc>
        <w:tc>
          <w:tcPr>
            <w:tcW w:w="2386" w:type="dxa"/>
          </w:tcPr>
          <w:p w14:paraId="34978CA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0.630</w:t>
            </w:r>
          </w:p>
        </w:tc>
        <w:tc>
          <w:tcPr>
            <w:tcW w:w="2386" w:type="dxa"/>
          </w:tcPr>
          <w:p w14:paraId="34FCCE7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0.591, 0.671</w:t>
            </w:r>
          </w:p>
        </w:tc>
      </w:tr>
      <w:tr w:rsidR="00233F1E" w14:paraId="5FA0734D" w14:textId="77777777">
        <w:trPr>
          <w:cantSplit/>
          <w:trHeight w:val="300"/>
        </w:trPr>
        <w:tc>
          <w:tcPr>
            <w:tcW w:w="5276" w:type="dxa"/>
          </w:tcPr>
          <w:p w14:paraId="563DC93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Systemic lupus erythematosus and connective tissue disorders</w:t>
            </w:r>
          </w:p>
        </w:tc>
        <w:tc>
          <w:tcPr>
            <w:tcW w:w="2386" w:type="dxa"/>
          </w:tcPr>
          <w:p w14:paraId="1B5CDF75"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1.177</w:t>
            </w:r>
          </w:p>
        </w:tc>
        <w:tc>
          <w:tcPr>
            <w:tcW w:w="2386" w:type="dxa"/>
          </w:tcPr>
          <w:p w14:paraId="54F53FE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1.089, 1.272</w:t>
            </w:r>
          </w:p>
        </w:tc>
      </w:tr>
      <w:tr w:rsidR="00233F1E" w14:paraId="0D0CBA55" w14:textId="77777777">
        <w:trPr>
          <w:cantSplit/>
          <w:trHeight w:val="300"/>
        </w:trPr>
        <w:tc>
          <w:tcPr>
            <w:tcW w:w="5276" w:type="dxa"/>
          </w:tcPr>
          <w:p w14:paraId="297445A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Rheumatoid Arthritis</w:t>
            </w:r>
          </w:p>
        </w:tc>
        <w:tc>
          <w:tcPr>
            <w:tcW w:w="2386" w:type="dxa"/>
          </w:tcPr>
          <w:p w14:paraId="6CA050E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1.211</w:t>
            </w:r>
          </w:p>
        </w:tc>
        <w:tc>
          <w:tcPr>
            <w:tcW w:w="2386" w:type="dxa"/>
          </w:tcPr>
          <w:p w14:paraId="5D4DCF0B"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1.078, 1.359</w:t>
            </w:r>
          </w:p>
        </w:tc>
      </w:tr>
      <w:tr w:rsidR="00233F1E" w14:paraId="503A8A4F" w14:textId="77777777">
        <w:trPr>
          <w:cantSplit/>
          <w:trHeight w:val="300"/>
        </w:trPr>
        <w:tc>
          <w:tcPr>
            <w:tcW w:w="5276" w:type="dxa"/>
          </w:tcPr>
          <w:p w14:paraId="3C55007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Pathologic Fracture</w:t>
            </w:r>
          </w:p>
        </w:tc>
        <w:tc>
          <w:tcPr>
            <w:tcW w:w="2386" w:type="dxa"/>
          </w:tcPr>
          <w:p w14:paraId="240051F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0.951</w:t>
            </w:r>
          </w:p>
        </w:tc>
        <w:tc>
          <w:tcPr>
            <w:tcW w:w="2386" w:type="dxa"/>
          </w:tcPr>
          <w:p w14:paraId="3B553E0F"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0.725, 1.247</w:t>
            </w:r>
          </w:p>
        </w:tc>
      </w:tr>
      <w:tr w:rsidR="00233F1E" w14:paraId="749E70A9" w14:textId="77777777">
        <w:trPr>
          <w:cantSplit/>
          <w:trHeight w:val="300"/>
        </w:trPr>
        <w:tc>
          <w:tcPr>
            <w:tcW w:w="5276" w:type="dxa"/>
          </w:tcPr>
          <w:p w14:paraId="70D8CFC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Gangrene</w:t>
            </w:r>
          </w:p>
        </w:tc>
        <w:tc>
          <w:tcPr>
            <w:tcW w:w="2386" w:type="dxa"/>
          </w:tcPr>
          <w:p w14:paraId="48A76E9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0.662</w:t>
            </w:r>
          </w:p>
        </w:tc>
        <w:tc>
          <w:tcPr>
            <w:tcW w:w="2386" w:type="dxa"/>
          </w:tcPr>
          <w:p w14:paraId="5A4A6F5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0.581, 0.754</w:t>
            </w:r>
          </w:p>
        </w:tc>
      </w:tr>
      <w:tr w:rsidR="00233F1E" w14:paraId="411D973D" w14:textId="77777777">
        <w:trPr>
          <w:cantSplit/>
          <w:trHeight w:val="300"/>
        </w:trPr>
        <w:tc>
          <w:tcPr>
            <w:tcW w:w="5276" w:type="dxa"/>
          </w:tcPr>
          <w:p w14:paraId="7D55009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HIV</w:t>
            </w:r>
          </w:p>
        </w:tc>
        <w:tc>
          <w:tcPr>
            <w:tcW w:w="2386" w:type="dxa"/>
          </w:tcPr>
          <w:p w14:paraId="4104DB8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0.874</w:t>
            </w:r>
          </w:p>
        </w:tc>
        <w:tc>
          <w:tcPr>
            <w:tcW w:w="2386" w:type="dxa"/>
          </w:tcPr>
          <w:p w14:paraId="7265A952"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0.778, 0.980</w:t>
            </w:r>
          </w:p>
        </w:tc>
      </w:tr>
      <w:tr w:rsidR="00233F1E" w14:paraId="3B264E80" w14:textId="77777777">
        <w:trPr>
          <w:cantSplit/>
          <w:trHeight w:val="300"/>
        </w:trPr>
        <w:tc>
          <w:tcPr>
            <w:tcW w:w="5276" w:type="dxa"/>
          </w:tcPr>
          <w:p w14:paraId="273FE11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Gastrostomy status</w:t>
            </w:r>
          </w:p>
        </w:tc>
        <w:tc>
          <w:tcPr>
            <w:tcW w:w="2386" w:type="dxa"/>
          </w:tcPr>
          <w:p w14:paraId="58AB18B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1.194</w:t>
            </w:r>
          </w:p>
        </w:tc>
        <w:tc>
          <w:tcPr>
            <w:tcW w:w="2386" w:type="dxa"/>
          </w:tcPr>
          <w:p w14:paraId="36DF9A11"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0.995, 1.433</w:t>
            </w:r>
          </w:p>
        </w:tc>
      </w:tr>
      <w:tr w:rsidR="00233F1E" w14:paraId="70C0EE19" w14:textId="77777777">
        <w:trPr>
          <w:cantSplit/>
          <w:trHeight w:val="300"/>
        </w:trPr>
        <w:tc>
          <w:tcPr>
            <w:tcW w:w="5276" w:type="dxa"/>
          </w:tcPr>
          <w:p w14:paraId="479E538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Other artificial opening of urinary tract status</w:t>
            </w:r>
          </w:p>
        </w:tc>
        <w:tc>
          <w:tcPr>
            <w:tcW w:w="2386" w:type="dxa"/>
          </w:tcPr>
          <w:p w14:paraId="1FF813E7"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0.715</w:t>
            </w:r>
          </w:p>
        </w:tc>
        <w:tc>
          <w:tcPr>
            <w:tcW w:w="2386" w:type="dxa"/>
          </w:tcPr>
          <w:p w14:paraId="0B2049E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0.501, 1.021</w:t>
            </w:r>
          </w:p>
        </w:tc>
      </w:tr>
      <w:tr w:rsidR="00233F1E" w14:paraId="68FFE8A7" w14:textId="77777777">
        <w:trPr>
          <w:cantSplit/>
          <w:trHeight w:val="300"/>
        </w:trPr>
        <w:tc>
          <w:tcPr>
            <w:tcW w:w="5276" w:type="dxa"/>
          </w:tcPr>
          <w:p w14:paraId="347B2F9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Dependence on respirator, status</w:t>
            </w:r>
          </w:p>
        </w:tc>
        <w:tc>
          <w:tcPr>
            <w:tcW w:w="2386" w:type="dxa"/>
          </w:tcPr>
          <w:p w14:paraId="74DD8D18"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1.247</w:t>
            </w:r>
          </w:p>
        </w:tc>
        <w:tc>
          <w:tcPr>
            <w:tcW w:w="2386" w:type="dxa"/>
          </w:tcPr>
          <w:p w14:paraId="727AB85E"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1.019, 1.527</w:t>
            </w:r>
          </w:p>
        </w:tc>
      </w:tr>
      <w:tr w:rsidR="00233F1E" w14:paraId="45F87C55" w14:textId="77777777">
        <w:trPr>
          <w:cantSplit/>
          <w:trHeight w:val="300"/>
        </w:trPr>
        <w:tc>
          <w:tcPr>
            <w:tcW w:w="5276" w:type="dxa"/>
          </w:tcPr>
          <w:p w14:paraId="3C8D4E4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Below knee amputation status</w:t>
            </w:r>
          </w:p>
        </w:tc>
        <w:tc>
          <w:tcPr>
            <w:tcW w:w="2386" w:type="dxa"/>
          </w:tcPr>
          <w:p w14:paraId="140093B9"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0.573</w:t>
            </w:r>
          </w:p>
        </w:tc>
        <w:tc>
          <w:tcPr>
            <w:tcW w:w="2386" w:type="dxa"/>
          </w:tcPr>
          <w:p w14:paraId="752FCDD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0.508, 0.646</w:t>
            </w:r>
          </w:p>
        </w:tc>
      </w:tr>
      <w:tr w:rsidR="00233F1E" w14:paraId="3AE10F51" w14:textId="77777777">
        <w:trPr>
          <w:cantSplit/>
          <w:trHeight w:val="300"/>
        </w:trPr>
        <w:tc>
          <w:tcPr>
            <w:tcW w:w="5276" w:type="dxa"/>
          </w:tcPr>
          <w:p w14:paraId="68C6B0C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Above knee amputation status</w:t>
            </w:r>
          </w:p>
        </w:tc>
        <w:tc>
          <w:tcPr>
            <w:tcW w:w="2386" w:type="dxa"/>
          </w:tcPr>
          <w:p w14:paraId="2979A634"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0.446</w:t>
            </w:r>
          </w:p>
        </w:tc>
        <w:tc>
          <w:tcPr>
            <w:tcW w:w="2386" w:type="dxa"/>
          </w:tcPr>
          <w:p w14:paraId="3AE9EACA"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0.342, 0.582</w:t>
            </w:r>
          </w:p>
        </w:tc>
      </w:tr>
      <w:tr w:rsidR="00233F1E" w14:paraId="31F54C0B" w14:textId="77777777">
        <w:trPr>
          <w:cantSplit/>
          <w:trHeight w:val="300"/>
        </w:trPr>
        <w:tc>
          <w:tcPr>
            <w:tcW w:w="5276" w:type="dxa"/>
          </w:tcPr>
          <w:p w14:paraId="6715584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Long-term (current) use of insulin</w:t>
            </w:r>
          </w:p>
        </w:tc>
        <w:tc>
          <w:tcPr>
            <w:tcW w:w="2386" w:type="dxa"/>
          </w:tcPr>
          <w:p w14:paraId="38E8DBC3"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1.14</w:t>
            </w:r>
          </w:p>
        </w:tc>
        <w:tc>
          <w:tcPr>
            <w:tcW w:w="2386" w:type="dxa"/>
          </w:tcPr>
          <w:p w14:paraId="58438940"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1.093, 1.188</w:t>
            </w:r>
          </w:p>
        </w:tc>
      </w:tr>
      <w:tr w:rsidR="00233F1E" w14:paraId="1EBF3798" w14:textId="77777777">
        <w:trPr>
          <w:cantSplit/>
          <w:trHeight w:val="300"/>
        </w:trPr>
        <w:tc>
          <w:tcPr>
            <w:tcW w:w="5276" w:type="dxa"/>
          </w:tcPr>
          <w:p w14:paraId="2A731C2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Inflammatory </w:t>
            </w:r>
            <w:proofErr w:type="spellStart"/>
            <w:r>
              <w:rPr>
                <w:rFonts w:ascii="Calibri" w:eastAsia="Calibri" w:hAnsi="Calibri" w:cs="Calibri"/>
                <w:color w:val="000000"/>
                <w:sz w:val="22"/>
              </w:rPr>
              <w:t>polyarthropathy</w:t>
            </w:r>
            <w:proofErr w:type="spellEnd"/>
          </w:p>
        </w:tc>
        <w:tc>
          <w:tcPr>
            <w:tcW w:w="2386" w:type="dxa"/>
          </w:tcPr>
          <w:p w14:paraId="1D0B31E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1.012</w:t>
            </w:r>
          </w:p>
        </w:tc>
        <w:tc>
          <w:tcPr>
            <w:tcW w:w="2386" w:type="dxa"/>
          </w:tcPr>
          <w:p w14:paraId="51860D76" w14:textId="77777777" w:rsidR="00A77B3E" w:rsidRDefault="00000000">
            <w:pPr>
              <w:spacing w:after="240"/>
              <w:jc w:val="right"/>
              <w:rPr>
                <w:rFonts w:ascii="Calibri" w:eastAsia="Calibri" w:hAnsi="Calibri" w:cs="Calibri"/>
                <w:color w:val="000000"/>
                <w:sz w:val="22"/>
              </w:rPr>
            </w:pPr>
            <w:r>
              <w:rPr>
                <w:rFonts w:ascii="Calibri" w:eastAsia="Calibri" w:hAnsi="Calibri" w:cs="Calibri"/>
                <w:color w:val="000000"/>
                <w:sz w:val="22"/>
              </w:rPr>
              <w:t>0.724, 1.415</w:t>
            </w:r>
          </w:p>
        </w:tc>
      </w:tr>
    </w:tbl>
    <w:p w14:paraId="28C47FE3"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10: </w:t>
      </w:r>
      <w:r>
        <w:rPr>
          <w:rFonts w:ascii="Calibri" w:eastAsia="Calibri" w:hAnsi="Calibri" w:cs="Calibri"/>
          <w:color w:val="000000"/>
          <w:sz w:val="22"/>
        </w:rPr>
        <w:t>Model statistics for risk factors in PSWR model</w:t>
      </w:r>
    </w:p>
    <w:p w14:paraId="156AEDC0"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*Cell intentionally left blank.</w:t>
      </w:r>
    </w:p>
    <w:p w14:paraId="422FA0C3" w14:textId="77777777" w:rsidR="00A77B3E" w:rsidRDefault="00A77B3E">
      <w:pPr>
        <w:spacing w:after="240"/>
        <w:rPr>
          <w:rFonts w:ascii="Calibri" w:eastAsia="Calibri" w:hAnsi="Calibri" w:cs="Calibri"/>
          <w:color w:val="000000"/>
          <w:sz w:val="22"/>
        </w:rPr>
      </w:pPr>
    </w:p>
    <w:p w14:paraId="383733A7" w14:textId="77777777" w:rsidR="00A77B3E" w:rsidRDefault="00A77B3E">
      <w:pPr>
        <w:spacing w:after="240"/>
        <w:rPr>
          <w:rFonts w:ascii="Calibri" w:eastAsia="Calibri" w:hAnsi="Calibri" w:cs="Calibri"/>
          <w:color w:val="000000"/>
          <w:sz w:val="22"/>
        </w:rPr>
      </w:pPr>
    </w:p>
    <w:p w14:paraId="38C56D3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2b.25) Describe the analyses and interpretation resulting in the decision to select or not select social risk factors.</w:t>
      </w:r>
    </w:p>
    <w:p w14:paraId="08FB2E13"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Examples may include prevalence of the factor across measured entities, availability of the data source, empirical association with the outcome, contribution of unique variation in the outcome, or assessment of between-unit effects and within-unit effects. Also describe the impact of adjusting for risk (or making no adjustment) on providers at high or low extremes of risk. </w:t>
      </w:r>
    </w:p>
    <w:p w14:paraId="27233BA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11: </w:t>
      </w:r>
      <w:r>
        <w:rPr>
          <w:rFonts w:ascii="Calibri" w:eastAsia="Calibri" w:hAnsi="Calibri" w:cs="Calibri"/>
          <w:color w:val="000000"/>
          <w:sz w:val="22"/>
        </w:rPr>
        <w:t>Hazard Ratio and 95% Confidence Interval of model including sex</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1:&amp;nbsp;Hazard Ratio and 95% Confidence Interval of model including sex"/>
        <w:tblDescription w:val="Table 11:&amp;nbsp;Hazard Ratio and 95% Confidence Interval of model including sex"/>
      </w:tblPr>
      <w:tblGrid>
        <w:gridCol w:w="2627"/>
        <w:gridCol w:w="2113"/>
        <w:gridCol w:w="2936"/>
      </w:tblGrid>
      <w:tr w:rsidR="00233F1E" w14:paraId="03E6CFAF" w14:textId="77777777">
        <w:trPr>
          <w:cantSplit/>
          <w:trHeight w:val="315"/>
          <w:tblHeader/>
        </w:trPr>
        <w:tc>
          <w:tcPr>
            <w:tcW w:w="2627" w:type="dxa"/>
          </w:tcPr>
          <w:p w14:paraId="0DB3A08E"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Sex </w:t>
            </w:r>
          </w:p>
        </w:tc>
        <w:tc>
          <w:tcPr>
            <w:tcW w:w="2113" w:type="dxa"/>
          </w:tcPr>
          <w:p w14:paraId="3F230DE0"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Hazard Ratio</w:t>
            </w:r>
          </w:p>
        </w:tc>
        <w:tc>
          <w:tcPr>
            <w:tcW w:w="2936" w:type="dxa"/>
          </w:tcPr>
          <w:p w14:paraId="3ED81D3F"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95% Confidence Interval</w:t>
            </w:r>
          </w:p>
        </w:tc>
      </w:tr>
      <w:tr w:rsidR="00233F1E" w14:paraId="0D4991A1" w14:textId="77777777">
        <w:trPr>
          <w:cantSplit/>
          <w:trHeight w:val="287"/>
        </w:trPr>
        <w:tc>
          <w:tcPr>
            <w:tcW w:w="2627" w:type="dxa"/>
          </w:tcPr>
          <w:p w14:paraId="48BA1F3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Female</w:t>
            </w:r>
          </w:p>
        </w:tc>
        <w:tc>
          <w:tcPr>
            <w:tcW w:w="2113" w:type="dxa"/>
          </w:tcPr>
          <w:p w14:paraId="274CC5D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0.834</w:t>
            </w:r>
          </w:p>
        </w:tc>
        <w:tc>
          <w:tcPr>
            <w:tcW w:w="2936" w:type="dxa"/>
          </w:tcPr>
          <w:p w14:paraId="474DC34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0.814, 0.854</w:t>
            </w:r>
          </w:p>
        </w:tc>
      </w:tr>
      <w:tr w:rsidR="00233F1E" w14:paraId="22EC6352" w14:textId="77777777">
        <w:trPr>
          <w:cantSplit/>
        </w:trPr>
        <w:tc>
          <w:tcPr>
            <w:tcW w:w="0" w:type="auto"/>
          </w:tcPr>
          <w:p w14:paraId="5A64734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Male</w:t>
            </w:r>
          </w:p>
        </w:tc>
        <w:tc>
          <w:tcPr>
            <w:tcW w:w="0" w:type="auto"/>
          </w:tcPr>
          <w:p w14:paraId="5AA64D1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Reference</w:t>
            </w:r>
          </w:p>
        </w:tc>
        <w:tc>
          <w:tcPr>
            <w:tcW w:w="0" w:type="auto"/>
          </w:tcPr>
          <w:p w14:paraId="38E777D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Reference</w:t>
            </w:r>
          </w:p>
        </w:tc>
      </w:tr>
    </w:tbl>
    <w:p w14:paraId="61AB04D2"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11: </w:t>
      </w:r>
      <w:r>
        <w:rPr>
          <w:rFonts w:ascii="Calibri" w:eastAsia="Calibri" w:hAnsi="Calibri" w:cs="Calibri"/>
          <w:color w:val="000000"/>
          <w:sz w:val="22"/>
        </w:rPr>
        <w:t>Hazard Ratio and 95% Confidence Interval of model including sex</w:t>
      </w:r>
    </w:p>
    <w:p w14:paraId="78E4E9CA"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12. </w:t>
      </w:r>
      <w:r>
        <w:rPr>
          <w:rFonts w:ascii="Calibri" w:eastAsia="Calibri" w:hAnsi="Calibri" w:cs="Calibri"/>
          <w:color w:val="000000"/>
          <w:sz w:val="22"/>
        </w:rPr>
        <w:t>Hazard Ratio and 95% Confidence Interval of model including race</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2.&amp;nbsp;Hazard Ratio and 95% Confidence Interval of model including race"/>
        <w:tblDescription w:val="Table 12.&amp;nbsp;Hazard Ratio and 95% Confidence Interval of model including race"/>
      </w:tblPr>
      <w:tblGrid>
        <w:gridCol w:w="2612"/>
        <w:gridCol w:w="2098"/>
        <w:gridCol w:w="2921"/>
      </w:tblGrid>
      <w:tr w:rsidR="00233F1E" w14:paraId="7B0EA990" w14:textId="77777777">
        <w:trPr>
          <w:cantSplit/>
          <w:trHeight w:val="315"/>
          <w:tblHeader/>
        </w:trPr>
        <w:tc>
          <w:tcPr>
            <w:tcW w:w="2612" w:type="dxa"/>
          </w:tcPr>
          <w:p w14:paraId="00E9F41B"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Race </w:t>
            </w:r>
          </w:p>
        </w:tc>
        <w:tc>
          <w:tcPr>
            <w:tcW w:w="2098" w:type="dxa"/>
          </w:tcPr>
          <w:p w14:paraId="2A465DE4"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Hazard Ratio</w:t>
            </w:r>
          </w:p>
        </w:tc>
        <w:tc>
          <w:tcPr>
            <w:tcW w:w="2921" w:type="dxa"/>
          </w:tcPr>
          <w:p w14:paraId="688CC280"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95% Confidence Interval</w:t>
            </w:r>
          </w:p>
        </w:tc>
      </w:tr>
      <w:tr w:rsidR="00233F1E" w14:paraId="5B8F2A5D" w14:textId="77777777">
        <w:trPr>
          <w:cantSplit/>
          <w:trHeight w:val="287"/>
        </w:trPr>
        <w:tc>
          <w:tcPr>
            <w:tcW w:w="2612" w:type="dxa"/>
          </w:tcPr>
          <w:p w14:paraId="7C8BE19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Native American</w:t>
            </w:r>
          </w:p>
        </w:tc>
        <w:tc>
          <w:tcPr>
            <w:tcW w:w="2098" w:type="dxa"/>
          </w:tcPr>
          <w:p w14:paraId="1D5B17E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0.625</w:t>
            </w:r>
          </w:p>
        </w:tc>
        <w:tc>
          <w:tcPr>
            <w:tcW w:w="2921" w:type="dxa"/>
          </w:tcPr>
          <w:p w14:paraId="4AAFF678"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0.492, 0.794</w:t>
            </w:r>
          </w:p>
        </w:tc>
      </w:tr>
      <w:tr w:rsidR="00233F1E" w14:paraId="694929AB" w14:textId="77777777">
        <w:trPr>
          <w:cantSplit/>
          <w:trHeight w:val="287"/>
        </w:trPr>
        <w:tc>
          <w:tcPr>
            <w:tcW w:w="2612" w:type="dxa"/>
          </w:tcPr>
          <w:p w14:paraId="1E592AA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Asian Pacific Islander</w:t>
            </w:r>
          </w:p>
        </w:tc>
        <w:tc>
          <w:tcPr>
            <w:tcW w:w="2098" w:type="dxa"/>
          </w:tcPr>
          <w:p w14:paraId="5DC5D54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1.186</w:t>
            </w:r>
          </w:p>
        </w:tc>
        <w:tc>
          <w:tcPr>
            <w:tcW w:w="2921" w:type="dxa"/>
          </w:tcPr>
          <w:p w14:paraId="09930C3D"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0.965, 1.458</w:t>
            </w:r>
          </w:p>
        </w:tc>
      </w:tr>
      <w:tr w:rsidR="00233F1E" w14:paraId="252E27C6" w14:textId="77777777">
        <w:trPr>
          <w:cantSplit/>
          <w:trHeight w:val="287"/>
        </w:trPr>
        <w:tc>
          <w:tcPr>
            <w:tcW w:w="2612" w:type="dxa"/>
          </w:tcPr>
          <w:p w14:paraId="36D0771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Black</w:t>
            </w:r>
          </w:p>
        </w:tc>
        <w:tc>
          <w:tcPr>
            <w:tcW w:w="2098" w:type="dxa"/>
          </w:tcPr>
          <w:p w14:paraId="76756B65"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0.830</w:t>
            </w:r>
          </w:p>
        </w:tc>
        <w:tc>
          <w:tcPr>
            <w:tcW w:w="2921" w:type="dxa"/>
          </w:tcPr>
          <w:p w14:paraId="11A5EAD2"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0.806, 0.854</w:t>
            </w:r>
          </w:p>
        </w:tc>
      </w:tr>
      <w:tr w:rsidR="00233F1E" w14:paraId="77B11A10" w14:textId="77777777">
        <w:trPr>
          <w:cantSplit/>
          <w:trHeight w:val="287"/>
        </w:trPr>
        <w:tc>
          <w:tcPr>
            <w:tcW w:w="2612" w:type="dxa"/>
          </w:tcPr>
          <w:p w14:paraId="76B8943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Other</w:t>
            </w:r>
          </w:p>
        </w:tc>
        <w:tc>
          <w:tcPr>
            <w:tcW w:w="2098" w:type="dxa"/>
          </w:tcPr>
          <w:p w14:paraId="221B1883"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1.018</w:t>
            </w:r>
          </w:p>
        </w:tc>
        <w:tc>
          <w:tcPr>
            <w:tcW w:w="2921" w:type="dxa"/>
          </w:tcPr>
          <w:p w14:paraId="04883049"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0.833, 1.243</w:t>
            </w:r>
          </w:p>
        </w:tc>
      </w:tr>
      <w:tr w:rsidR="00233F1E" w14:paraId="057BC9AA" w14:textId="77777777">
        <w:trPr>
          <w:cantSplit/>
        </w:trPr>
        <w:tc>
          <w:tcPr>
            <w:tcW w:w="0" w:type="auto"/>
          </w:tcPr>
          <w:p w14:paraId="6041C4D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White</w:t>
            </w:r>
          </w:p>
        </w:tc>
        <w:tc>
          <w:tcPr>
            <w:tcW w:w="0" w:type="auto"/>
          </w:tcPr>
          <w:p w14:paraId="5629044E"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Reference</w:t>
            </w:r>
          </w:p>
        </w:tc>
        <w:tc>
          <w:tcPr>
            <w:tcW w:w="0" w:type="auto"/>
          </w:tcPr>
          <w:p w14:paraId="7E9717D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Reference</w:t>
            </w:r>
          </w:p>
        </w:tc>
      </w:tr>
    </w:tbl>
    <w:p w14:paraId="78F437C6"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12. </w:t>
      </w:r>
      <w:r>
        <w:rPr>
          <w:rFonts w:ascii="Calibri" w:eastAsia="Calibri" w:hAnsi="Calibri" w:cs="Calibri"/>
          <w:color w:val="000000"/>
          <w:sz w:val="22"/>
        </w:rPr>
        <w:t>Hazard Ratio and 95% Confidence Interval of model including race</w:t>
      </w:r>
    </w:p>
    <w:p w14:paraId="4C0CAFE6"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13. </w:t>
      </w:r>
      <w:r>
        <w:rPr>
          <w:rFonts w:ascii="Calibri" w:eastAsia="Calibri" w:hAnsi="Calibri" w:cs="Calibri"/>
          <w:color w:val="000000"/>
          <w:sz w:val="22"/>
        </w:rPr>
        <w:t>Hazard Ratio and 95% Confidence Interval of model including ethnicity</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3.&amp;nbsp;Hazard Ratio and 95% Confidence Interval of model including ethnicity"/>
        <w:tblDescription w:val="Table 13.&amp;nbsp;Hazard Ratio and 95% Confidence Interval of model including ethnicity"/>
      </w:tblPr>
      <w:tblGrid>
        <w:gridCol w:w="2612"/>
        <w:gridCol w:w="2098"/>
        <w:gridCol w:w="2921"/>
      </w:tblGrid>
      <w:tr w:rsidR="00233F1E" w14:paraId="7AA9DDA0" w14:textId="77777777">
        <w:trPr>
          <w:cantSplit/>
          <w:trHeight w:val="315"/>
          <w:tblHeader/>
        </w:trPr>
        <w:tc>
          <w:tcPr>
            <w:tcW w:w="2612" w:type="dxa"/>
          </w:tcPr>
          <w:p w14:paraId="1DC4E5E5"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Ethnicity </w:t>
            </w:r>
          </w:p>
        </w:tc>
        <w:tc>
          <w:tcPr>
            <w:tcW w:w="2098" w:type="dxa"/>
          </w:tcPr>
          <w:p w14:paraId="25B445C7"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Hazard Ratio</w:t>
            </w:r>
          </w:p>
        </w:tc>
        <w:tc>
          <w:tcPr>
            <w:tcW w:w="2921" w:type="dxa"/>
          </w:tcPr>
          <w:p w14:paraId="0FE5B6FE"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95% Confidence Interval</w:t>
            </w:r>
          </w:p>
        </w:tc>
      </w:tr>
      <w:tr w:rsidR="00233F1E" w14:paraId="3892010B" w14:textId="77777777">
        <w:trPr>
          <w:cantSplit/>
          <w:trHeight w:val="287"/>
        </w:trPr>
        <w:tc>
          <w:tcPr>
            <w:tcW w:w="2612" w:type="dxa"/>
          </w:tcPr>
          <w:p w14:paraId="61A83B8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Hispanic</w:t>
            </w:r>
          </w:p>
        </w:tc>
        <w:tc>
          <w:tcPr>
            <w:tcW w:w="2098" w:type="dxa"/>
          </w:tcPr>
          <w:p w14:paraId="0E00CCB7"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1.173</w:t>
            </w:r>
          </w:p>
        </w:tc>
        <w:tc>
          <w:tcPr>
            <w:tcW w:w="2921" w:type="dxa"/>
          </w:tcPr>
          <w:p w14:paraId="4FBA4911"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1.134, 1.214</w:t>
            </w:r>
          </w:p>
        </w:tc>
      </w:tr>
      <w:tr w:rsidR="00233F1E" w14:paraId="643B1F72" w14:textId="77777777">
        <w:trPr>
          <w:cantSplit/>
        </w:trPr>
        <w:tc>
          <w:tcPr>
            <w:tcW w:w="0" w:type="auto"/>
          </w:tcPr>
          <w:p w14:paraId="543EE41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Non-Hispanic</w:t>
            </w:r>
          </w:p>
        </w:tc>
        <w:tc>
          <w:tcPr>
            <w:tcW w:w="0" w:type="auto"/>
          </w:tcPr>
          <w:p w14:paraId="0BC1A2DF"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Reference</w:t>
            </w:r>
          </w:p>
        </w:tc>
        <w:tc>
          <w:tcPr>
            <w:tcW w:w="0" w:type="auto"/>
          </w:tcPr>
          <w:p w14:paraId="1E920E4B"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Reference</w:t>
            </w:r>
          </w:p>
        </w:tc>
      </w:tr>
    </w:tbl>
    <w:p w14:paraId="4B324E33"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13. </w:t>
      </w:r>
      <w:r>
        <w:rPr>
          <w:rFonts w:ascii="Calibri" w:eastAsia="Calibri" w:hAnsi="Calibri" w:cs="Calibri"/>
          <w:color w:val="000000"/>
          <w:sz w:val="22"/>
        </w:rPr>
        <w:t>Hazard Ratio and 95% Confidence Interval of model including ethnicity</w:t>
      </w:r>
    </w:p>
    <w:p w14:paraId="63EEE90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Compared to men, female patients were less likely to be waitlisted (Hazard ratio = 0.834). Compared to White patients, Asian &amp; Pacific Islanders were more likely to be waitlisted (Hazard ratio = 1.186). Black and Native American patients were less likely to get waitlisted compared with White patients (Hazard ratio = 0.830 and 0.625, respectively). The waitlisting rate for Hispanic patients were more likely comparing with Non-Hispanic patients (Hazard ratio = 1.173).</w:t>
      </w:r>
    </w:p>
    <w:p w14:paraId="5F6F482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Figure 6:</w:t>
      </w:r>
      <w:r>
        <w:rPr>
          <w:rFonts w:ascii="Calibri" w:eastAsia="Calibri" w:hAnsi="Calibri" w:cs="Calibri"/>
          <w:color w:val="000000"/>
          <w:sz w:val="22"/>
        </w:rPr>
        <w:t xml:space="preserve"> Correlation between PSWR with and without each risk factor</w:t>
      </w:r>
    </w:p>
    <w:p w14:paraId="4B2EDA8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Sex</w:t>
      </w:r>
    </w:p>
    <w:p w14:paraId="5F81496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265E476B" wp14:editId="09E6ADF0">
            <wp:extent cx="5943600" cy="4457700"/>
            <wp:effectExtent l="0" t="0" r="0" b="0"/>
            <wp:docPr id="100574" name="Picture 100574" descr="Figure 6 describes a correlation between PSWR with and without sex as a risk factor using a scatterplot. For an interpretation of the results, see section 2b.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5" name=""/>
                    <pic:cNvPicPr>
                      <a:picLocks noChangeAspect="1"/>
                    </pic:cNvPicPr>
                  </pic:nvPicPr>
                  <pic:blipFill>
                    <a:blip r:embed="rId28"/>
                    <a:stretch>
                      <a:fillRect/>
                    </a:stretch>
                  </pic:blipFill>
                  <pic:spPr>
                    <a:xfrm>
                      <a:off x="0" y="0"/>
                      <a:ext cx="5943600" cy="4457700"/>
                    </a:xfrm>
                    <a:prstGeom prst="rect">
                      <a:avLst/>
                    </a:prstGeom>
                  </pic:spPr>
                </pic:pic>
              </a:graphicData>
            </a:graphic>
          </wp:inline>
        </w:drawing>
      </w:r>
    </w:p>
    <w:p w14:paraId="7DE9B34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Race</w:t>
      </w:r>
    </w:p>
    <w:p w14:paraId="098FBA3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71AB9066" wp14:editId="5DCF8C71">
            <wp:extent cx="5943600" cy="4457700"/>
            <wp:effectExtent l="0" t="0" r="0" b="0"/>
            <wp:docPr id="100576" name="Picture 100576" descr="Figure 6 describes a correlation between PSWR with and without race as a risk factor using a scatterplot. For an interpretation of the results, see section 2b.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7" name=""/>
                    <pic:cNvPicPr>
                      <a:picLocks noChangeAspect="1"/>
                    </pic:cNvPicPr>
                  </pic:nvPicPr>
                  <pic:blipFill>
                    <a:blip r:embed="rId29"/>
                    <a:stretch>
                      <a:fillRect/>
                    </a:stretch>
                  </pic:blipFill>
                  <pic:spPr>
                    <a:xfrm>
                      <a:off x="0" y="0"/>
                      <a:ext cx="5943600" cy="4457700"/>
                    </a:xfrm>
                    <a:prstGeom prst="rect">
                      <a:avLst/>
                    </a:prstGeom>
                  </pic:spPr>
                </pic:pic>
              </a:graphicData>
            </a:graphic>
          </wp:inline>
        </w:drawing>
      </w:r>
    </w:p>
    <w:p w14:paraId="69E7503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Ethnicity</w:t>
      </w:r>
    </w:p>
    <w:p w14:paraId="69FCC9A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7E4BC0C2" wp14:editId="3B2EE064">
            <wp:extent cx="5943600" cy="4457700"/>
            <wp:effectExtent l="0" t="0" r="0" b="0"/>
            <wp:docPr id="100578" name="Picture 100578" descr="A scatterplot of the correlation between PSWR with and without ethnicity as a risk fa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 name=""/>
                    <pic:cNvPicPr>
                      <a:picLocks noChangeAspect="1"/>
                    </pic:cNvPicPr>
                  </pic:nvPicPr>
                  <pic:blipFill>
                    <a:blip r:embed="rId30"/>
                    <a:stretch>
                      <a:fillRect/>
                    </a:stretch>
                  </pic:blipFill>
                  <pic:spPr>
                    <a:xfrm>
                      <a:off x="0" y="0"/>
                      <a:ext cx="5943600" cy="4457700"/>
                    </a:xfrm>
                    <a:prstGeom prst="rect">
                      <a:avLst/>
                    </a:prstGeom>
                  </pic:spPr>
                </pic:pic>
              </a:graphicData>
            </a:graphic>
          </wp:inline>
        </w:drawing>
      </w:r>
    </w:p>
    <w:p w14:paraId="21D03787"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Table 14:</w:t>
      </w:r>
      <w:r>
        <w:rPr>
          <w:rFonts w:ascii="Calibri" w:eastAsia="Calibri" w:hAnsi="Calibri" w:cs="Calibri"/>
          <w:color w:val="000000"/>
          <w:sz w:val="22"/>
        </w:rPr>
        <w:t xml:space="preserve"> Comparison of performances with and without adjusting for risk factors</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4: Comparison of performances with and without adjusting for sex as a risk factor"/>
        <w:tblDescription w:val="Table 14: Comparison of performances with and without adjusting for sex as a risk factor"/>
      </w:tblPr>
      <w:tblGrid>
        <w:gridCol w:w="1488"/>
        <w:gridCol w:w="1983"/>
        <w:gridCol w:w="1478"/>
        <w:gridCol w:w="1478"/>
        <w:gridCol w:w="1478"/>
        <w:gridCol w:w="1445"/>
      </w:tblGrid>
      <w:tr w:rsidR="00233F1E" w14:paraId="55B7A79F" w14:textId="77777777">
        <w:trPr>
          <w:cantSplit/>
          <w:trHeight w:val="300"/>
          <w:tblHeader/>
        </w:trPr>
        <w:tc>
          <w:tcPr>
            <w:tcW w:w="1808" w:type="dxa"/>
          </w:tcPr>
          <w:p w14:paraId="4BEEEA31"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w:t>
            </w:r>
          </w:p>
        </w:tc>
        <w:tc>
          <w:tcPr>
            <w:tcW w:w="2392" w:type="dxa"/>
          </w:tcPr>
          <w:p w14:paraId="279B43D3"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w:t>
            </w:r>
          </w:p>
        </w:tc>
        <w:tc>
          <w:tcPr>
            <w:tcW w:w="1666" w:type="dxa"/>
          </w:tcPr>
          <w:p w14:paraId="0A85D052"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sex</w:t>
            </w:r>
          </w:p>
        </w:tc>
        <w:tc>
          <w:tcPr>
            <w:tcW w:w="1666" w:type="dxa"/>
          </w:tcPr>
          <w:p w14:paraId="4A958506"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sex</w:t>
            </w:r>
          </w:p>
        </w:tc>
        <w:tc>
          <w:tcPr>
            <w:tcW w:w="1666" w:type="dxa"/>
          </w:tcPr>
          <w:p w14:paraId="651D0999"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sex</w:t>
            </w:r>
          </w:p>
        </w:tc>
        <w:tc>
          <w:tcPr>
            <w:tcW w:w="1666" w:type="dxa"/>
          </w:tcPr>
          <w:p w14:paraId="26062B4B"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sex</w:t>
            </w:r>
          </w:p>
        </w:tc>
      </w:tr>
      <w:tr w:rsidR="00233F1E" w14:paraId="05FD7814" w14:textId="77777777">
        <w:trPr>
          <w:cantSplit/>
          <w:trHeight w:val="315"/>
        </w:trPr>
        <w:tc>
          <w:tcPr>
            <w:tcW w:w="1808" w:type="dxa"/>
          </w:tcPr>
          <w:p w14:paraId="01A674A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2392" w:type="dxa"/>
          </w:tcPr>
          <w:p w14:paraId="69D4ED3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1666" w:type="dxa"/>
          </w:tcPr>
          <w:p w14:paraId="289E82E6"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Better than Expected</w:t>
            </w:r>
          </w:p>
        </w:tc>
        <w:tc>
          <w:tcPr>
            <w:tcW w:w="1666" w:type="dxa"/>
          </w:tcPr>
          <w:p w14:paraId="64107DE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 As Expected</w:t>
            </w:r>
          </w:p>
        </w:tc>
        <w:tc>
          <w:tcPr>
            <w:tcW w:w="1666" w:type="dxa"/>
          </w:tcPr>
          <w:p w14:paraId="67BB0AA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Worse than Expected</w:t>
            </w:r>
          </w:p>
        </w:tc>
        <w:tc>
          <w:tcPr>
            <w:tcW w:w="1666" w:type="dxa"/>
          </w:tcPr>
          <w:p w14:paraId="0D941BD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Total</w:t>
            </w:r>
          </w:p>
        </w:tc>
      </w:tr>
      <w:tr w:rsidR="00233F1E" w14:paraId="029AC129" w14:textId="77777777">
        <w:trPr>
          <w:cantSplit/>
          <w:trHeight w:val="300"/>
        </w:trPr>
        <w:tc>
          <w:tcPr>
            <w:tcW w:w="1808" w:type="dxa"/>
          </w:tcPr>
          <w:p w14:paraId="67F450B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sex</w:t>
            </w:r>
          </w:p>
        </w:tc>
        <w:tc>
          <w:tcPr>
            <w:tcW w:w="2392" w:type="dxa"/>
          </w:tcPr>
          <w:p w14:paraId="22CA225A"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Better than Expected</w:t>
            </w:r>
          </w:p>
        </w:tc>
        <w:tc>
          <w:tcPr>
            <w:tcW w:w="1666" w:type="dxa"/>
          </w:tcPr>
          <w:p w14:paraId="3F94994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78</w:t>
            </w:r>
          </w:p>
        </w:tc>
        <w:tc>
          <w:tcPr>
            <w:tcW w:w="1666" w:type="dxa"/>
          </w:tcPr>
          <w:p w14:paraId="42CA318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w:t>
            </w:r>
          </w:p>
        </w:tc>
        <w:tc>
          <w:tcPr>
            <w:tcW w:w="1666" w:type="dxa"/>
          </w:tcPr>
          <w:p w14:paraId="61DB135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w:t>
            </w:r>
          </w:p>
        </w:tc>
        <w:tc>
          <w:tcPr>
            <w:tcW w:w="1666" w:type="dxa"/>
          </w:tcPr>
          <w:p w14:paraId="2C81976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78</w:t>
            </w:r>
          </w:p>
        </w:tc>
      </w:tr>
      <w:tr w:rsidR="00233F1E" w14:paraId="6ED4F265" w14:textId="77777777">
        <w:trPr>
          <w:cantSplit/>
          <w:trHeight w:val="300"/>
        </w:trPr>
        <w:tc>
          <w:tcPr>
            <w:tcW w:w="1808" w:type="dxa"/>
          </w:tcPr>
          <w:p w14:paraId="05F0FAD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sex</w:t>
            </w:r>
          </w:p>
        </w:tc>
        <w:tc>
          <w:tcPr>
            <w:tcW w:w="2392" w:type="dxa"/>
          </w:tcPr>
          <w:p w14:paraId="08D3E5C0"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 As Expected</w:t>
            </w:r>
          </w:p>
        </w:tc>
        <w:tc>
          <w:tcPr>
            <w:tcW w:w="1666" w:type="dxa"/>
          </w:tcPr>
          <w:p w14:paraId="4421A07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w:t>
            </w:r>
          </w:p>
        </w:tc>
        <w:tc>
          <w:tcPr>
            <w:tcW w:w="1666" w:type="dxa"/>
          </w:tcPr>
          <w:p w14:paraId="5916399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1897</w:t>
            </w:r>
          </w:p>
        </w:tc>
        <w:tc>
          <w:tcPr>
            <w:tcW w:w="1666" w:type="dxa"/>
          </w:tcPr>
          <w:p w14:paraId="44AB736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w:t>
            </w:r>
          </w:p>
        </w:tc>
        <w:tc>
          <w:tcPr>
            <w:tcW w:w="1666" w:type="dxa"/>
          </w:tcPr>
          <w:p w14:paraId="0076F65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1900</w:t>
            </w:r>
          </w:p>
        </w:tc>
      </w:tr>
      <w:tr w:rsidR="00233F1E" w14:paraId="4295519F" w14:textId="77777777">
        <w:trPr>
          <w:cantSplit/>
          <w:trHeight w:val="300"/>
        </w:trPr>
        <w:tc>
          <w:tcPr>
            <w:tcW w:w="1808" w:type="dxa"/>
          </w:tcPr>
          <w:p w14:paraId="7A63EC86"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sex</w:t>
            </w:r>
          </w:p>
        </w:tc>
        <w:tc>
          <w:tcPr>
            <w:tcW w:w="2392" w:type="dxa"/>
          </w:tcPr>
          <w:p w14:paraId="6675C25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Worse than Expected</w:t>
            </w:r>
          </w:p>
        </w:tc>
        <w:tc>
          <w:tcPr>
            <w:tcW w:w="1666" w:type="dxa"/>
          </w:tcPr>
          <w:p w14:paraId="4EAD98F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w:t>
            </w:r>
          </w:p>
        </w:tc>
        <w:tc>
          <w:tcPr>
            <w:tcW w:w="1666" w:type="dxa"/>
          </w:tcPr>
          <w:p w14:paraId="74D1096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w:t>
            </w:r>
          </w:p>
        </w:tc>
        <w:tc>
          <w:tcPr>
            <w:tcW w:w="1666" w:type="dxa"/>
          </w:tcPr>
          <w:p w14:paraId="1262829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39</w:t>
            </w:r>
          </w:p>
        </w:tc>
        <w:tc>
          <w:tcPr>
            <w:tcW w:w="1666" w:type="dxa"/>
          </w:tcPr>
          <w:p w14:paraId="6837DFE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41</w:t>
            </w:r>
          </w:p>
        </w:tc>
      </w:tr>
      <w:tr w:rsidR="00233F1E" w14:paraId="6B774689" w14:textId="77777777">
        <w:trPr>
          <w:cantSplit/>
          <w:trHeight w:val="300"/>
        </w:trPr>
        <w:tc>
          <w:tcPr>
            <w:tcW w:w="1808" w:type="dxa"/>
          </w:tcPr>
          <w:p w14:paraId="75691D25"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sex</w:t>
            </w:r>
          </w:p>
        </w:tc>
        <w:tc>
          <w:tcPr>
            <w:tcW w:w="2392" w:type="dxa"/>
          </w:tcPr>
          <w:p w14:paraId="5C90133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Total</w:t>
            </w:r>
          </w:p>
        </w:tc>
        <w:tc>
          <w:tcPr>
            <w:tcW w:w="1666" w:type="dxa"/>
          </w:tcPr>
          <w:p w14:paraId="1E3E321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80</w:t>
            </w:r>
          </w:p>
        </w:tc>
        <w:tc>
          <w:tcPr>
            <w:tcW w:w="1666" w:type="dxa"/>
          </w:tcPr>
          <w:p w14:paraId="5313B78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1899</w:t>
            </w:r>
          </w:p>
        </w:tc>
        <w:tc>
          <w:tcPr>
            <w:tcW w:w="1666" w:type="dxa"/>
          </w:tcPr>
          <w:p w14:paraId="367396F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40</w:t>
            </w:r>
          </w:p>
        </w:tc>
        <w:tc>
          <w:tcPr>
            <w:tcW w:w="1666" w:type="dxa"/>
          </w:tcPr>
          <w:p w14:paraId="0B73906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2019</w:t>
            </w:r>
          </w:p>
        </w:tc>
      </w:tr>
    </w:tbl>
    <w:p w14:paraId="59D9D96C"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14:</w:t>
      </w:r>
      <w:r>
        <w:rPr>
          <w:rFonts w:ascii="Calibri" w:eastAsia="Calibri" w:hAnsi="Calibri" w:cs="Calibri"/>
          <w:color w:val="000000"/>
          <w:sz w:val="22"/>
        </w:rPr>
        <w:t xml:space="preserve"> Comparison of performances with and without adjusting for sex as a risk factor</w:t>
      </w:r>
    </w:p>
    <w:p w14:paraId="1576F48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 </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4: Comparison of performances with and without adjusting for race as a risk factor"/>
        <w:tblDescription w:val="Table 14: Comparison of performances with and without adjusting for race as a risk factor"/>
      </w:tblPr>
      <w:tblGrid>
        <w:gridCol w:w="1488"/>
        <w:gridCol w:w="1983"/>
        <w:gridCol w:w="1478"/>
        <w:gridCol w:w="1478"/>
        <w:gridCol w:w="1478"/>
        <w:gridCol w:w="1445"/>
      </w:tblGrid>
      <w:tr w:rsidR="00233F1E" w14:paraId="5616E6E5" w14:textId="77777777">
        <w:trPr>
          <w:cantSplit/>
          <w:trHeight w:val="300"/>
          <w:tblHeader/>
        </w:trPr>
        <w:tc>
          <w:tcPr>
            <w:tcW w:w="1808" w:type="dxa"/>
          </w:tcPr>
          <w:p w14:paraId="0F90A9C8"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w:t>
            </w:r>
          </w:p>
        </w:tc>
        <w:tc>
          <w:tcPr>
            <w:tcW w:w="2392" w:type="dxa"/>
          </w:tcPr>
          <w:p w14:paraId="3BCE07FE"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w:t>
            </w:r>
          </w:p>
        </w:tc>
        <w:tc>
          <w:tcPr>
            <w:tcW w:w="1666" w:type="dxa"/>
          </w:tcPr>
          <w:p w14:paraId="6A1566CD"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race</w:t>
            </w:r>
          </w:p>
        </w:tc>
        <w:tc>
          <w:tcPr>
            <w:tcW w:w="1666" w:type="dxa"/>
          </w:tcPr>
          <w:p w14:paraId="5215A3E8"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race</w:t>
            </w:r>
          </w:p>
        </w:tc>
        <w:tc>
          <w:tcPr>
            <w:tcW w:w="1666" w:type="dxa"/>
          </w:tcPr>
          <w:p w14:paraId="233DE887"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race</w:t>
            </w:r>
          </w:p>
        </w:tc>
        <w:tc>
          <w:tcPr>
            <w:tcW w:w="1666" w:type="dxa"/>
          </w:tcPr>
          <w:p w14:paraId="190E5671"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race</w:t>
            </w:r>
          </w:p>
        </w:tc>
      </w:tr>
      <w:tr w:rsidR="00233F1E" w14:paraId="47CEABF2" w14:textId="77777777">
        <w:trPr>
          <w:cantSplit/>
          <w:trHeight w:val="315"/>
        </w:trPr>
        <w:tc>
          <w:tcPr>
            <w:tcW w:w="1808" w:type="dxa"/>
          </w:tcPr>
          <w:p w14:paraId="47A4C1B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2392" w:type="dxa"/>
          </w:tcPr>
          <w:p w14:paraId="16A8AA9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1666" w:type="dxa"/>
          </w:tcPr>
          <w:p w14:paraId="5FA4B77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Better than Expected</w:t>
            </w:r>
          </w:p>
        </w:tc>
        <w:tc>
          <w:tcPr>
            <w:tcW w:w="1666" w:type="dxa"/>
          </w:tcPr>
          <w:p w14:paraId="4D1F7047"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As Expected</w:t>
            </w:r>
          </w:p>
        </w:tc>
        <w:tc>
          <w:tcPr>
            <w:tcW w:w="1666" w:type="dxa"/>
          </w:tcPr>
          <w:p w14:paraId="4A232D0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Worse than Expected</w:t>
            </w:r>
          </w:p>
        </w:tc>
        <w:tc>
          <w:tcPr>
            <w:tcW w:w="1666" w:type="dxa"/>
          </w:tcPr>
          <w:p w14:paraId="4283728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Total</w:t>
            </w:r>
          </w:p>
        </w:tc>
      </w:tr>
      <w:tr w:rsidR="00233F1E" w14:paraId="66FB68F9" w14:textId="77777777">
        <w:trPr>
          <w:cantSplit/>
          <w:trHeight w:val="300"/>
        </w:trPr>
        <w:tc>
          <w:tcPr>
            <w:tcW w:w="1808" w:type="dxa"/>
          </w:tcPr>
          <w:p w14:paraId="5EA72E24"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race</w:t>
            </w:r>
          </w:p>
        </w:tc>
        <w:tc>
          <w:tcPr>
            <w:tcW w:w="2392" w:type="dxa"/>
          </w:tcPr>
          <w:p w14:paraId="4EA2030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Better than Expected</w:t>
            </w:r>
          </w:p>
        </w:tc>
        <w:tc>
          <w:tcPr>
            <w:tcW w:w="1666" w:type="dxa"/>
          </w:tcPr>
          <w:p w14:paraId="385A14B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70</w:t>
            </w:r>
          </w:p>
        </w:tc>
        <w:tc>
          <w:tcPr>
            <w:tcW w:w="1666" w:type="dxa"/>
          </w:tcPr>
          <w:p w14:paraId="72DA1BD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15</w:t>
            </w:r>
          </w:p>
        </w:tc>
        <w:tc>
          <w:tcPr>
            <w:tcW w:w="1666" w:type="dxa"/>
          </w:tcPr>
          <w:p w14:paraId="346A825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w:t>
            </w:r>
          </w:p>
        </w:tc>
        <w:tc>
          <w:tcPr>
            <w:tcW w:w="1666" w:type="dxa"/>
          </w:tcPr>
          <w:p w14:paraId="7515F8E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85</w:t>
            </w:r>
          </w:p>
        </w:tc>
      </w:tr>
      <w:tr w:rsidR="00233F1E" w14:paraId="0DD3DEE9" w14:textId="77777777">
        <w:trPr>
          <w:cantSplit/>
          <w:trHeight w:val="300"/>
        </w:trPr>
        <w:tc>
          <w:tcPr>
            <w:tcW w:w="1808" w:type="dxa"/>
          </w:tcPr>
          <w:p w14:paraId="55F70062"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race</w:t>
            </w:r>
          </w:p>
        </w:tc>
        <w:tc>
          <w:tcPr>
            <w:tcW w:w="2392" w:type="dxa"/>
          </w:tcPr>
          <w:p w14:paraId="7FD686F7"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As Expected</w:t>
            </w:r>
          </w:p>
        </w:tc>
        <w:tc>
          <w:tcPr>
            <w:tcW w:w="1666" w:type="dxa"/>
          </w:tcPr>
          <w:p w14:paraId="6404A9F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10</w:t>
            </w:r>
          </w:p>
        </w:tc>
        <w:tc>
          <w:tcPr>
            <w:tcW w:w="1666" w:type="dxa"/>
          </w:tcPr>
          <w:p w14:paraId="21FA3D4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1867</w:t>
            </w:r>
          </w:p>
        </w:tc>
        <w:tc>
          <w:tcPr>
            <w:tcW w:w="1666" w:type="dxa"/>
          </w:tcPr>
          <w:p w14:paraId="180DBBF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3</w:t>
            </w:r>
          </w:p>
        </w:tc>
        <w:tc>
          <w:tcPr>
            <w:tcW w:w="1666" w:type="dxa"/>
          </w:tcPr>
          <w:p w14:paraId="61F1A1A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1880</w:t>
            </w:r>
          </w:p>
        </w:tc>
      </w:tr>
      <w:tr w:rsidR="00233F1E" w14:paraId="2B2DD579" w14:textId="77777777">
        <w:trPr>
          <w:cantSplit/>
          <w:trHeight w:val="300"/>
        </w:trPr>
        <w:tc>
          <w:tcPr>
            <w:tcW w:w="1808" w:type="dxa"/>
          </w:tcPr>
          <w:p w14:paraId="141B568E"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race</w:t>
            </w:r>
          </w:p>
        </w:tc>
        <w:tc>
          <w:tcPr>
            <w:tcW w:w="2392" w:type="dxa"/>
          </w:tcPr>
          <w:p w14:paraId="77D44B1E"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Worse than Expected</w:t>
            </w:r>
          </w:p>
        </w:tc>
        <w:tc>
          <w:tcPr>
            <w:tcW w:w="1666" w:type="dxa"/>
          </w:tcPr>
          <w:p w14:paraId="2652AD5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w:t>
            </w:r>
          </w:p>
        </w:tc>
        <w:tc>
          <w:tcPr>
            <w:tcW w:w="1666" w:type="dxa"/>
          </w:tcPr>
          <w:p w14:paraId="4CCFDA2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12</w:t>
            </w:r>
          </w:p>
        </w:tc>
        <w:tc>
          <w:tcPr>
            <w:tcW w:w="1666" w:type="dxa"/>
          </w:tcPr>
          <w:p w14:paraId="5CF139A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37</w:t>
            </w:r>
          </w:p>
        </w:tc>
        <w:tc>
          <w:tcPr>
            <w:tcW w:w="1666" w:type="dxa"/>
          </w:tcPr>
          <w:p w14:paraId="2D3D7E9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49</w:t>
            </w:r>
          </w:p>
        </w:tc>
      </w:tr>
      <w:tr w:rsidR="00233F1E" w14:paraId="7112CD0B" w14:textId="77777777">
        <w:trPr>
          <w:cantSplit/>
          <w:trHeight w:val="300"/>
        </w:trPr>
        <w:tc>
          <w:tcPr>
            <w:tcW w:w="1808" w:type="dxa"/>
          </w:tcPr>
          <w:p w14:paraId="18635767"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race</w:t>
            </w:r>
          </w:p>
        </w:tc>
        <w:tc>
          <w:tcPr>
            <w:tcW w:w="2392" w:type="dxa"/>
          </w:tcPr>
          <w:p w14:paraId="361CD91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Total</w:t>
            </w:r>
          </w:p>
        </w:tc>
        <w:tc>
          <w:tcPr>
            <w:tcW w:w="1666" w:type="dxa"/>
          </w:tcPr>
          <w:p w14:paraId="0BC13CE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80</w:t>
            </w:r>
          </w:p>
        </w:tc>
        <w:tc>
          <w:tcPr>
            <w:tcW w:w="1666" w:type="dxa"/>
          </w:tcPr>
          <w:p w14:paraId="0F4ADCF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1894</w:t>
            </w:r>
          </w:p>
        </w:tc>
        <w:tc>
          <w:tcPr>
            <w:tcW w:w="1666" w:type="dxa"/>
          </w:tcPr>
          <w:p w14:paraId="460C92A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40</w:t>
            </w:r>
          </w:p>
        </w:tc>
        <w:tc>
          <w:tcPr>
            <w:tcW w:w="1666" w:type="dxa"/>
          </w:tcPr>
          <w:p w14:paraId="6B63DC9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2014</w:t>
            </w:r>
          </w:p>
        </w:tc>
      </w:tr>
    </w:tbl>
    <w:p w14:paraId="79511BC0"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14:</w:t>
      </w:r>
      <w:r>
        <w:rPr>
          <w:rFonts w:ascii="Calibri" w:eastAsia="Calibri" w:hAnsi="Calibri" w:cs="Calibri"/>
          <w:color w:val="000000"/>
          <w:sz w:val="22"/>
        </w:rPr>
        <w:t xml:space="preserve"> Comparison of performances with and without adjusting for race as a risk factor</w:t>
      </w:r>
    </w:p>
    <w:p w14:paraId="37A27F3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14: Comparison of performances with and without adjusting for ethnicity as a risk factor"/>
        <w:tblDescription w:val="Table 14: Comparison of performances with and without adjusting for ethnicity as a risk factor"/>
      </w:tblPr>
      <w:tblGrid>
        <w:gridCol w:w="1551"/>
        <w:gridCol w:w="1953"/>
        <w:gridCol w:w="1464"/>
        <w:gridCol w:w="1464"/>
        <w:gridCol w:w="1464"/>
        <w:gridCol w:w="1454"/>
      </w:tblGrid>
      <w:tr w:rsidR="00233F1E" w14:paraId="17936DD3" w14:textId="77777777">
        <w:trPr>
          <w:cantSplit/>
          <w:trHeight w:val="300"/>
          <w:tblHeader/>
        </w:trPr>
        <w:tc>
          <w:tcPr>
            <w:tcW w:w="1808" w:type="dxa"/>
          </w:tcPr>
          <w:p w14:paraId="6FF78BE4"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w:t>
            </w:r>
          </w:p>
        </w:tc>
        <w:tc>
          <w:tcPr>
            <w:tcW w:w="2392" w:type="dxa"/>
          </w:tcPr>
          <w:p w14:paraId="06BE9009"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w:t>
            </w:r>
          </w:p>
        </w:tc>
        <w:tc>
          <w:tcPr>
            <w:tcW w:w="1666" w:type="dxa"/>
          </w:tcPr>
          <w:p w14:paraId="57A85374"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ethnicity</w:t>
            </w:r>
          </w:p>
        </w:tc>
        <w:tc>
          <w:tcPr>
            <w:tcW w:w="1666" w:type="dxa"/>
          </w:tcPr>
          <w:p w14:paraId="6F966D18"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ethnicity</w:t>
            </w:r>
          </w:p>
        </w:tc>
        <w:tc>
          <w:tcPr>
            <w:tcW w:w="1666" w:type="dxa"/>
          </w:tcPr>
          <w:p w14:paraId="78E41765"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ethnicity</w:t>
            </w:r>
          </w:p>
        </w:tc>
        <w:tc>
          <w:tcPr>
            <w:tcW w:w="1666" w:type="dxa"/>
          </w:tcPr>
          <w:p w14:paraId="61626A43" w14:textId="77777777" w:rsidR="00A77B3E" w:rsidRDefault="00000000">
            <w:pPr>
              <w:spacing w:after="240"/>
              <w:jc w:val="center"/>
              <w:rPr>
                <w:rFonts w:ascii="Calibri" w:eastAsia="Calibri" w:hAnsi="Calibri" w:cs="Calibri"/>
                <w:b/>
                <w:bCs/>
                <w:color w:val="000000"/>
                <w:sz w:val="22"/>
              </w:rPr>
            </w:pPr>
            <w:r>
              <w:rPr>
                <w:rFonts w:ascii="Calibri" w:eastAsia="Calibri" w:hAnsi="Calibri" w:cs="Calibri"/>
                <w:b/>
                <w:bCs/>
                <w:color w:val="000000"/>
                <w:sz w:val="22"/>
              </w:rPr>
              <w:t>PSWR without ethnicity</w:t>
            </w:r>
          </w:p>
        </w:tc>
      </w:tr>
      <w:tr w:rsidR="00233F1E" w14:paraId="22CEA757" w14:textId="77777777">
        <w:trPr>
          <w:cantSplit/>
          <w:trHeight w:val="315"/>
        </w:trPr>
        <w:tc>
          <w:tcPr>
            <w:tcW w:w="1808" w:type="dxa"/>
          </w:tcPr>
          <w:p w14:paraId="0DE8F73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2392" w:type="dxa"/>
          </w:tcPr>
          <w:p w14:paraId="3D5FEDD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t>
            </w:r>
          </w:p>
        </w:tc>
        <w:tc>
          <w:tcPr>
            <w:tcW w:w="1666" w:type="dxa"/>
          </w:tcPr>
          <w:p w14:paraId="24341F2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Better than Expected</w:t>
            </w:r>
          </w:p>
        </w:tc>
        <w:tc>
          <w:tcPr>
            <w:tcW w:w="1666" w:type="dxa"/>
          </w:tcPr>
          <w:p w14:paraId="7E9D0BE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As Expected</w:t>
            </w:r>
          </w:p>
        </w:tc>
        <w:tc>
          <w:tcPr>
            <w:tcW w:w="1666" w:type="dxa"/>
          </w:tcPr>
          <w:p w14:paraId="69DDFE0C"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Worse than Expected</w:t>
            </w:r>
          </w:p>
        </w:tc>
        <w:tc>
          <w:tcPr>
            <w:tcW w:w="1666" w:type="dxa"/>
          </w:tcPr>
          <w:p w14:paraId="0467F27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Total</w:t>
            </w:r>
          </w:p>
        </w:tc>
      </w:tr>
      <w:tr w:rsidR="00233F1E" w14:paraId="2BE7D685" w14:textId="77777777">
        <w:trPr>
          <w:cantSplit/>
          <w:trHeight w:val="300"/>
        </w:trPr>
        <w:tc>
          <w:tcPr>
            <w:tcW w:w="1808" w:type="dxa"/>
          </w:tcPr>
          <w:p w14:paraId="6CF666BB"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ethnicity</w:t>
            </w:r>
          </w:p>
        </w:tc>
        <w:tc>
          <w:tcPr>
            <w:tcW w:w="2392" w:type="dxa"/>
          </w:tcPr>
          <w:p w14:paraId="43D001A1"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Better than Expected</w:t>
            </w:r>
          </w:p>
        </w:tc>
        <w:tc>
          <w:tcPr>
            <w:tcW w:w="1666" w:type="dxa"/>
          </w:tcPr>
          <w:p w14:paraId="1DDB545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66</w:t>
            </w:r>
          </w:p>
        </w:tc>
        <w:tc>
          <w:tcPr>
            <w:tcW w:w="1666" w:type="dxa"/>
          </w:tcPr>
          <w:p w14:paraId="023F085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w:t>
            </w:r>
          </w:p>
        </w:tc>
        <w:tc>
          <w:tcPr>
            <w:tcW w:w="1666" w:type="dxa"/>
          </w:tcPr>
          <w:p w14:paraId="4730963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w:t>
            </w:r>
          </w:p>
        </w:tc>
        <w:tc>
          <w:tcPr>
            <w:tcW w:w="1666" w:type="dxa"/>
          </w:tcPr>
          <w:p w14:paraId="2DFF082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68</w:t>
            </w:r>
          </w:p>
        </w:tc>
      </w:tr>
      <w:tr w:rsidR="00233F1E" w14:paraId="13CCF911" w14:textId="77777777">
        <w:trPr>
          <w:cantSplit/>
          <w:trHeight w:val="300"/>
        </w:trPr>
        <w:tc>
          <w:tcPr>
            <w:tcW w:w="1808" w:type="dxa"/>
          </w:tcPr>
          <w:p w14:paraId="781D81CE"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ethnicity</w:t>
            </w:r>
          </w:p>
        </w:tc>
        <w:tc>
          <w:tcPr>
            <w:tcW w:w="2392" w:type="dxa"/>
          </w:tcPr>
          <w:p w14:paraId="1F09C5B5"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As Expected</w:t>
            </w:r>
          </w:p>
        </w:tc>
        <w:tc>
          <w:tcPr>
            <w:tcW w:w="1666" w:type="dxa"/>
          </w:tcPr>
          <w:p w14:paraId="54F26C9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14</w:t>
            </w:r>
          </w:p>
        </w:tc>
        <w:tc>
          <w:tcPr>
            <w:tcW w:w="1666" w:type="dxa"/>
          </w:tcPr>
          <w:p w14:paraId="733DEE9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1892</w:t>
            </w:r>
          </w:p>
        </w:tc>
        <w:tc>
          <w:tcPr>
            <w:tcW w:w="1666" w:type="dxa"/>
          </w:tcPr>
          <w:p w14:paraId="29F821F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w:t>
            </w:r>
          </w:p>
        </w:tc>
        <w:tc>
          <w:tcPr>
            <w:tcW w:w="1666" w:type="dxa"/>
          </w:tcPr>
          <w:p w14:paraId="2F3B5F8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1910</w:t>
            </w:r>
          </w:p>
        </w:tc>
      </w:tr>
      <w:tr w:rsidR="00233F1E" w14:paraId="0A027A37" w14:textId="77777777">
        <w:trPr>
          <w:cantSplit/>
          <w:trHeight w:val="300"/>
        </w:trPr>
        <w:tc>
          <w:tcPr>
            <w:tcW w:w="1808" w:type="dxa"/>
          </w:tcPr>
          <w:p w14:paraId="397BC30A"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ethnicity</w:t>
            </w:r>
          </w:p>
        </w:tc>
        <w:tc>
          <w:tcPr>
            <w:tcW w:w="2392" w:type="dxa"/>
          </w:tcPr>
          <w:p w14:paraId="5BF62382"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Worse than Expected</w:t>
            </w:r>
          </w:p>
        </w:tc>
        <w:tc>
          <w:tcPr>
            <w:tcW w:w="1666" w:type="dxa"/>
          </w:tcPr>
          <w:p w14:paraId="0CBD1A0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0</w:t>
            </w:r>
          </w:p>
        </w:tc>
        <w:tc>
          <w:tcPr>
            <w:tcW w:w="1666" w:type="dxa"/>
          </w:tcPr>
          <w:p w14:paraId="4D9B61C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w:t>
            </w:r>
          </w:p>
        </w:tc>
        <w:tc>
          <w:tcPr>
            <w:tcW w:w="1666" w:type="dxa"/>
          </w:tcPr>
          <w:p w14:paraId="5D0382E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36</w:t>
            </w:r>
          </w:p>
        </w:tc>
        <w:tc>
          <w:tcPr>
            <w:tcW w:w="1666" w:type="dxa"/>
          </w:tcPr>
          <w:p w14:paraId="6AC105A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40</w:t>
            </w:r>
          </w:p>
        </w:tc>
      </w:tr>
      <w:tr w:rsidR="00233F1E" w14:paraId="30BF59D2" w14:textId="77777777">
        <w:trPr>
          <w:cantSplit/>
          <w:trHeight w:val="300"/>
        </w:trPr>
        <w:tc>
          <w:tcPr>
            <w:tcW w:w="1808" w:type="dxa"/>
          </w:tcPr>
          <w:p w14:paraId="1C173958"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PSWR with ethnicity</w:t>
            </w:r>
          </w:p>
        </w:tc>
        <w:tc>
          <w:tcPr>
            <w:tcW w:w="2392" w:type="dxa"/>
          </w:tcPr>
          <w:p w14:paraId="41FFA2A3"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Total</w:t>
            </w:r>
          </w:p>
        </w:tc>
        <w:tc>
          <w:tcPr>
            <w:tcW w:w="1666" w:type="dxa"/>
          </w:tcPr>
          <w:p w14:paraId="070F0D8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80</w:t>
            </w:r>
          </w:p>
        </w:tc>
        <w:tc>
          <w:tcPr>
            <w:tcW w:w="1666" w:type="dxa"/>
          </w:tcPr>
          <w:p w14:paraId="6785A98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1898</w:t>
            </w:r>
          </w:p>
        </w:tc>
        <w:tc>
          <w:tcPr>
            <w:tcW w:w="1666" w:type="dxa"/>
          </w:tcPr>
          <w:p w14:paraId="0DC4E16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40</w:t>
            </w:r>
          </w:p>
        </w:tc>
        <w:tc>
          <w:tcPr>
            <w:tcW w:w="1666" w:type="dxa"/>
          </w:tcPr>
          <w:p w14:paraId="55080BF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2018</w:t>
            </w:r>
          </w:p>
        </w:tc>
      </w:tr>
    </w:tbl>
    <w:p w14:paraId="37E5A063" w14:textId="77777777" w:rsidR="00A77B3E" w:rsidRDefault="00000000">
      <w:pPr>
        <w:spacing w:after="240"/>
        <w:ind w:left="600" w:right="600"/>
        <w:rPr>
          <w:rFonts w:ascii="Calibri" w:eastAsia="Calibri" w:hAnsi="Calibri" w:cs="Calibri"/>
          <w:color w:val="000000"/>
          <w:sz w:val="22"/>
        </w:rPr>
      </w:pPr>
      <w:r>
        <w:rPr>
          <w:rFonts w:ascii="Calibri" w:eastAsia="Calibri" w:hAnsi="Calibri" w:cs="Calibri"/>
          <w:b/>
          <w:bCs/>
          <w:color w:val="000000"/>
          <w:sz w:val="22"/>
        </w:rPr>
        <w:t>Table 14:</w:t>
      </w:r>
      <w:r>
        <w:rPr>
          <w:rFonts w:ascii="Calibri" w:eastAsia="Calibri" w:hAnsi="Calibri" w:cs="Calibri"/>
          <w:color w:val="000000"/>
          <w:sz w:val="22"/>
        </w:rPr>
        <w:t xml:space="preserve"> Comparison of performances with and without adjusting for ethnicity as a risk factor</w:t>
      </w:r>
    </w:p>
    <w:p w14:paraId="7F46BA4C" w14:textId="77777777" w:rsidR="00A77B3E" w:rsidRDefault="00000000">
      <w:pPr>
        <w:spacing w:after="240"/>
        <w:jc w:val="center"/>
        <w:rPr>
          <w:rFonts w:ascii="Calibri" w:eastAsia="Calibri" w:hAnsi="Calibri" w:cs="Calibri"/>
          <w:color w:val="000000"/>
          <w:sz w:val="22"/>
        </w:rPr>
      </w:pPr>
      <w:r>
        <w:rPr>
          <w:rFonts w:ascii="Calibri" w:eastAsia="Calibri" w:hAnsi="Calibri" w:cs="Calibri"/>
          <w:color w:val="000000"/>
          <w:sz w:val="22"/>
        </w:rPr>
        <w:t>*Cell intentionally left blank.</w:t>
      </w:r>
    </w:p>
    <w:p w14:paraId="5765E8A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Although there are differences in waitlisting by sex, race, and ethnicity, it is unclear whether these associations are due to underlying biological or other patient factors, or represent disparities in care. Adjusting for these factors could have the unintended consequence of creating or reinforcing disparities. Furthermore, Tables 11-14 and Figure 6 show that adjustment for these factors had minimal impact on dialysis practitioner group performance. Therefore, these risk factors were not included in the final risk adjusted model. </w:t>
      </w:r>
    </w:p>
    <w:p w14:paraId="7B9A1511" w14:textId="77777777" w:rsidR="00A77B3E" w:rsidRDefault="00A77B3E">
      <w:pPr>
        <w:spacing w:after="240"/>
        <w:rPr>
          <w:rFonts w:ascii="Calibri" w:eastAsia="Calibri" w:hAnsi="Calibri" w:cs="Calibri"/>
          <w:color w:val="000000"/>
          <w:sz w:val="22"/>
        </w:rPr>
      </w:pPr>
    </w:p>
    <w:p w14:paraId="6127304C" w14:textId="77777777" w:rsidR="00A77B3E" w:rsidRDefault="00A77B3E">
      <w:pPr>
        <w:spacing w:after="240"/>
        <w:rPr>
          <w:rFonts w:ascii="Calibri" w:eastAsia="Calibri" w:hAnsi="Calibri" w:cs="Calibri"/>
          <w:color w:val="000000"/>
          <w:sz w:val="22"/>
        </w:rPr>
      </w:pPr>
    </w:p>
    <w:p w14:paraId="3774CF0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2b.26) Describe the method of testing/analysis used to develop and validate the adequacy of the statistical model or stratification approach (describe the steps―do not just name a method; what statistical analysis was used). Provide the statistical results from testing the approach to control for differences in patient characteristics (i.e., case mix) below. If stratified ONLY, enter “N/A” for questions about the statistical risk model discrimination and calibration statistics.</w:t>
      </w:r>
    </w:p>
    <w:p w14:paraId="1736AC84"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t xml:space="preserve">Validation testing should be conducted in a data set that is separate from the one used to develop the </w:t>
      </w:r>
      <w:proofErr w:type="spellStart"/>
      <w:r>
        <w:rPr>
          <w:rFonts w:ascii="Calibri" w:eastAsia="Calibri" w:hAnsi="Calibri" w:cs="Calibri"/>
          <w:i/>
          <w:color w:val="000000"/>
          <w:sz w:val="22"/>
        </w:rPr>
        <w:t>model.</w:t>
      </w:r>
      <w:r>
        <w:rPr>
          <w:rFonts w:ascii="Calibri" w:eastAsia="Calibri" w:hAnsi="Calibri" w:cs="Calibri"/>
          <w:color w:val="000000"/>
          <w:sz w:val="22"/>
        </w:rPr>
        <w:t>Risk</w:t>
      </w:r>
      <w:proofErr w:type="spellEnd"/>
      <w:r>
        <w:rPr>
          <w:rFonts w:ascii="Calibri" w:eastAsia="Calibri" w:hAnsi="Calibri" w:cs="Calibri"/>
          <w:color w:val="000000"/>
          <w:sz w:val="22"/>
        </w:rPr>
        <w:t xml:space="preserve"> factors were selected for the final model based on the magnitude of the coefficients, evaluation of their statistical significance, and the model C-statistic. The C-statistic measures the discriminative power of the regression model with considered risk factors.</w:t>
      </w:r>
    </w:p>
    <w:p w14:paraId="2784F230" w14:textId="77777777" w:rsidR="00A77B3E" w:rsidRDefault="00A77B3E">
      <w:pPr>
        <w:spacing w:after="240"/>
        <w:rPr>
          <w:rFonts w:ascii="Calibri" w:eastAsia="Calibri" w:hAnsi="Calibri" w:cs="Calibri"/>
          <w:color w:val="000000"/>
          <w:sz w:val="22"/>
        </w:rPr>
      </w:pPr>
    </w:p>
    <w:p w14:paraId="324BD1B0"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2b.27) Provide risk model discrimination statistics.</w:t>
      </w:r>
    </w:p>
    <w:p w14:paraId="21B813E6"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 For example, provide c-statistics or R-squared </w:t>
      </w:r>
      <w:proofErr w:type="spellStart"/>
      <w:r>
        <w:rPr>
          <w:rFonts w:ascii="Calibri" w:eastAsia="Calibri" w:hAnsi="Calibri" w:cs="Calibri"/>
          <w:i/>
          <w:iCs/>
          <w:color w:val="000000"/>
          <w:sz w:val="22"/>
        </w:rPr>
        <w:t>values.</w:t>
      </w:r>
      <w:r>
        <w:rPr>
          <w:rFonts w:ascii="Calibri" w:eastAsia="Calibri" w:hAnsi="Calibri" w:cs="Calibri"/>
          <w:color w:val="000000"/>
          <w:sz w:val="22"/>
        </w:rPr>
        <w:t>The</w:t>
      </w:r>
      <w:proofErr w:type="spellEnd"/>
      <w:r>
        <w:rPr>
          <w:rFonts w:ascii="Calibri" w:eastAsia="Calibri" w:hAnsi="Calibri" w:cs="Calibri"/>
          <w:color w:val="000000"/>
          <w:sz w:val="22"/>
        </w:rPr>
        <w:t xml:space="preserve"> C-statistic (also known as the Index of Concordance) was 0.72, meaning that the model correctly ordered 72% of the pairs of patient-months that were discordant with respect to the response variate.</w:t>
      </w:r>
    </w:p>
    <w:p w14:paraId="2DE0128E" w14:textId="77777777" w:rsidR="00A77B3E" w:rsidRDefault="00A77B3E">
      <w:pPr>
        <w:spacing w:after="240"/>
        <w:rPr>
          <w:rFonts w:ascii="Calibri" w:eastAsia="Calibri" w:hAnsi="Calibri" w:cs="Calibri"/>
          <w:color w:val="000000"/>
          <w:sz w:val="22"/>
        </w:rPr>
      </w:pPr>
    </w:p>
    <w:p w14:paraId="0834ADAD"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2b.28) Provide the statistical risk model calibration statistics (e.g., Hosmer-</w:t>
      </w:r>
      <w:proofErr w:type="spellStart"/>
      <w:r>
        <w:rPr>
          <w:rFonts w:ascii="Calibri" w:eastAsia="Calibri" w:hAnsi="Calibri" w:cs="Calibri"/>
          <w:b/>
          <w:color w:val="000000"/>
          <w:sz w:val="22"/>
        </w:rPr>
        <w:t>Lemeshow</w:t>
      </w:r>
      <w:proofErr w:type="spellEnd"/>
      <w:r>
        <w:rPr>
          <w:rFonts w:ascii="Calibri" w:eastAsia="Calibri" w:hAnsi="Calibri" w:cs="Calibri"/>
          <w:b/>
          <w:color w:val="000000"/>
          <w:sz w:val="22"/>
        </w:rPr>
        <w:t xml:space="preserve"> statistic).</w:t>
      </w:r>
    </w:p>
    <w:p w14:paraId="67F7826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1D52072E" w14:textId="77777777" w:rsidR="00A77B3E" w:rsidRDefault="00A77B3E">
      <w:pPr>
        <w:spacing w:after="240"/>
        <w:rPr>
          <w:rFonts w:ascii="Calibri" w:eastAsia="Calibri" w:hAnsi="Calibri" w:cs="Calibri"/>
          <w:color w:val="000000"/>
          <w:sz w:val="22"/>
        </w:rPr>
      </w:pPr>
    </w:p>
    <w:p w14:paraId="6EEA22CF"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2b.29) Provide the risk decile plots or calibration curves used in calibrating the statistical risk model.</w:t>
      </w:r>
    </w:p>
    <w:p w14:paraId="27465AC2"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The preferred file format is .</w:t>
      </w:r>
      <w:proofErr w:type="spellStart"/>
      <w:r>
        <w:rPr>
          <w:rFonts w:ascii="Calibri" w:eastAsia="Calibri" w:hAnsi="Calibri" w:cs="Calibri"/>
          <w:i/>
          <w:iCs/>
          <w:color w:val="000000"/>
          <w:sz w:val="22"/>
        </w:rPr>
        <w:t>png</w:t>
      </w:r>
      <w:proofErr w:type="spellEnd"/>
      <w:r>
        <w:rPr>
          <w:rFonts w:ascii="Calibri" w:eastAsia="Calibri" w:hAnsi="Calibri" w:cs="Calibri"/>
          <w:i/>
          <w:iCs/>
          <w:color w:val="000000"/>
          <w:sz w:val="22"/>
        </w:rPr>
        <w:t>, but most image formats are acceptable.</w:t>
      </w:r>
    </w:p>
    <w:p w14:paraId="51148C2F" w14:textId="77777777" w:rsidR="00A77B3E" w:rsidRDefault="00000000">
      <w:pPr>
        <w:spacing w:after="240"/>
        <w:rPr>
          <w:rFonts w:ascii="Calibri" w:eastAsia="Calibri" w:hAnsi="Calibri" w:cs="Calibri"/>
          <w:color w:val="000000"/>
          <w:sz w:val="22"/>
        </w:rPr>
      </w:pPr>
      <w:r>
        <w:rPr>
          <w:rFonts w:ascii="Calibri" w:eastAsia="Calibri" w:hAnsi="Calibri" w:cs="Calibri"/>
          <w:b/>
          <w:bCs/>
          <w:color w:val="000000"/>
          <w:sz w:val="22"/>
        </w:rPr>
        <w:t>Figure 7:</w:t>
      </w:r>
      <w:r>
        <w:rPr>
          <w:rFonts w:ascii="Calibri" w:eastAsia="Calibri" w:hAnsi="Calibri" w:cs="Calibri"/>
          <w:color w:val="000000"/>
          <w:sz w:val="22"/>
        </w:rPr>
        <w:t xml:space="preserve"> Decile plot for PSWR</w:t>
      </w:r>
    </w:p>
    <w:p w14:paraId="1C52BA6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lastRenderedPageBreak/>
        <w:drawing>
          <wp:inline distT="0" distB="0" distL="0" distR="0" wp14:anchorId="1063375F" wp14:editId="494FDF39">
            <wp:extent cx="5943600" cy="4457700"/>
            <wp:effectExtent l="0" t="0" r="0" b="0"/>
            <wp:docPr id="100580" name="Picture 100580" descr="A decile plot for PSWR based on estimates of time to waitlist/transplant by follow-up time in years. The plot has ten, separate numbered lines to demonstrate the risk factors in the model are discriminating well between patients. There is good separation among all 10 groups and the ordering is as predicted by the model. Refer to the detailed description of the plot in section 2b.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1" name=""/>
                    <pic:cNvPicPr>
                      <a:picLocks noChangeAspect="1"/>
                    </pic:cNvPicPr>
                  </pic:nvPicPr>
                  <pic:blipFill>
                    <a:blip r:embed="rId31"/>
                    <a:stretch>
                      <a:fillRect/>
                    </a:stretch>
                  </pic:blipFill>
                  <pic:spPr>
                    <a:xfrm>
                      <a:off x="0" y="0"/>
                      <a:ext cx="5943600" cy="4457700"/>
                    </a:xfrm>
                    <a:prstGeom prst="rect">
                      <a:avLst/>
                    </a:prstGeom>
                  </pic:spPr>
                </pic:pic>
              </a:graphicData>
            </a:graphic>
          </wp:inline>
        </w:drawing>
      </w:r>
    </w:p>
    <w:p w14:paraId="2CC58DEF" w14:textId="77777777" w:rsidR="00A77B3E" w:rsidRDefault="00A77B3E">
      <w:pPr>
        <w:spacing w:after="240"/>
        <w:rPr>
          <w:rFonts w:ascii="Calibri" w:eastAsia="Calibri" w:hAnsi="Calibri" w:cs="Calibri"/>
          <w:color w:val="000000"/>
          <w:sz w:val="22"/>
        </w:rPr>
      </w:pPr>
    </w:p>
    <w:p w14:paraId="31E2CA1D" w14:textId="77777777" w:rsidR="00A77B3E" w:rsidRDefault="00A77B3E">
      <w:pPr>
        <w:spacing w:after="240"/>
        <w:rPr>
          <w:rFonts w:ascii="Calibri" w:eastAsia="Calibri" w:hAnsi="Calibri" w:cs="Calibri"/>
          <w:color w:val="000000"/>
          <w:sz w:val="22"/>
        </w:rPr>
      </w:pPr>
    </w:p>
    <w:p w14:paraId="64708E87"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2b.30) Provide the results of the risk stratification analysis.</w:t>
      </w:r>
    </w:p>
    <w:p w14:paraId="4D18C2A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49EFA8C7" w14:textId="77777777" w:rsidR="00A77B3E" w:rsidRDefault="00A77B3E">
      <w:pPr>
        <w:spacing w:after="240"/>
        <w:rPr>
          <w:rFonts w:ascii="Calibri" w:eastAsia="Calibri" w:hAnsi="Calibri" w:cs="Calibri"/>
          <w:color w:val="000000"/>
          <w:sz w:val="22"/>
        </w:rPr>
      </w:pPr>
    </w:p>
    <w:p w14:paraId="0A2AB1A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2b.31) Provide your interpretation of the results, in terms of demonstrating adequacy of controlling for differences in patient characteristics (i.e., case mix).</w:t>
      </w:r>
    </w:p>
    <w:p w14:paraId="22EE724B"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In other words, what do the results mean and what are the norms for the test </w:t>
      </w:r>
      <w:proofErr w:type="spellStart"/>
      <w:r>
        <w:rPr>
          <w:rFonts w:ascii="Calibri" w:eastAsia="Calibri" w:hAnsi="Calibri" w:cs="Calibri"/>
          <w:i/>
          <w:iCs/>
          <w:color w:val="000000"/>
          <w:sz w:val="22"/>
        </w:rPr>
        <w:t>conducted?</w:t>
      </w:r>
      <w:r>
        <w:rPr>
          <w:rFonts w:ascii="Calibri" w:eastAsia="Calibri" w:hAnsi="Calibri" w:cs="Calibri"/>
          <w:color w:val="000000"/>
          <w:sz w:val="22"/>
        </w:rPr>
        <w:t>Figure</w:t>
      </w:r>
      <w:proofErr w:type="spellEnd"/>
      <w:r>
        <w:rPr>
          <w:rFonts w:ascii="Calibri" w:eastAsia="Calibri" w:hAnsi="Calibri" w:cs="Calibri"/>
          <w:color w:val="000000"/>
          <w:sz w:val="22"/>
        </w:rPr>
        <w:t xml:space="preserve"> 7 shows that the risk factors in the model are discriminating well between patients. There is good separation among all 10 groups and the ordering is as predicted by the model. Patients of higher model deciles are much more likely to waitlist or transplant than lower model deciles showing effectiveness of the model to discriminate likelihood of waitlisting.</w:t>
      </w:r>
    </w:p>
    <w:p w14:paraId="30A36F2E" w14:textId="77777777" w:rsidR="00A77B3E" w:rsidRDefault="00A77B3E">
      <w:pPr>
        <w:spacing w:after="240"/>
        <w:rPr>
          <w:rFonts w:ascii="Calibri" w:eastAsia="Calibri" w:hAnsi="Calibri" w:cs="Calibri"/>
          <w:color w:val="000000"/>
          <w:sz w:val="22"/>
        </w:rPr>
      </w:pPr>
    </w:p>
    <w:p w14:paraId="08ECF99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lastRenderedPageBreak/>
        <w:t>2b.32) Describe any additional testing conducted to justify the risk adjustment approach used in specifying the measure.</w:t>
      </w:r>
    </w:p>
    <w:p w14:paraId="062F4948"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Not required but would provide additional support of adequacy of the risk model, e.g., testing of risk model in another data set; sensitivity analysis for missing data; other methods that were </w:t>
      </w:r>
      <w:proofErr w:type="spellStart"/>
      <w:r>
        <w:rPr>
          <w:rFonts w:ascii="Calibri" w:eastAsia="Calibri" w:hAnsi="Calibri" w:cs="Calibri"/>
          <w:i/>
          <w:iCs/>
          <w:color w:val="000000"/>
          <w:sz w:val="22"/>
        </w:rPr>
        <w:t>assessed.</w:t>
      </w:r>
      <w:r>
        <w:rPr>
          <w:rFonts w:ascii="Calibri" w:eastAsia="Calibri" w:hAnsi="Calibri" w:cs="Calibri"/>
          <w:color w:val="000000"/>
          <w:sz w:val="22"/>
        </w:rPr>
        <w:t>N</w:t>
      </w:r>
      <w:proofErr w:type="spellEnd"/>
      <w:r>
        <w:rPr>
          <w:rFonts w:ascii="Calibri" w:eastAsia="Calibri" w:hAnsi="Calibri" w:cs="Calibri"/>
          <w:color w:val="000000"/>
          <w:sz w:val="22"/>
        </w:rPr>
        <w:t>/A</w:t>
      </w:r>
    </w:p>
    <w:p w14:paraId="5F1B1091" w14:textId="77777777" w:rsidR="00A77B3E" w:rsidRDefault="00A77B3E">
      <w:pPr>
        <w:spacing w:after="240"/>
        <w:rPr>
          <w:rFonts w:ascii="Calibri" w:eastAsia="Calibri" w:hAnsi="Calibri" w:cs="Calibri"/>
          <w:color w:val="000000"/>
          <w:sz w:val="22"/>
        </w:rPr>
      </w:pPr>
    </w:p>
    <w:p w14:paraId="2C577A78"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Feasibility (3.01 - 3.07)</w:t>
      </w:r>
      <w:r>
        <w:pict w14:anchorId="183371E4">
          <v:rect id="_x0000_i1036" style="width:468pt;height:1pt" o:hralign="center" o:hrstd="t" o:hrnoshade="t" o:hr="t" fillcolor="#326295" stroked="f">
            <v:path strokeok="f"/>
          </v:rect>
        </w:pict>
      </w:r>
    </w:p>
    <w:p w14:paraId="330227BC" w14:textId="77777777" w:rsidR="00A77B3E" w:rsidRDefault="00A77B3E">
      <w:pPr>
        <w:pStyle w:val="Heading1"/>
        <w:spacing w:before="0" w:after="240"/>
        <w:rPr>
          <w:rFonts w:ascii="Calibri" w:eastAsia="Calibri" w:hAnsi="Calibri" w:cs="Calibri"/>
          <w:b w:val="0"/>
          <w:color w:val="326295"/>
          <w:sz w:val="2"/>
        </w:rPr>
      </w:pPr>
    </w:p>
    <w:p w14:paraId="74BB1E7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3.01) Check all methods below that are used to generate the data elements needed to compute the measure score.</w:t>
      </w:r>
    </w:p>
    <w:p w14:paraId="498D1D9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8A4E5B0" wp14:editId="390C4AB5">
            <wp:extent cx="126984" cy="126984"/>
            <wp:effectExtent l="0" t="0" r="0" b="0"/>
            <wp:docPr id="100583" name="Picture 100583" descr="Generated or collected by and used by healthcare personnel during the provision of care (e.g., blood pressure, lab value, diagnosis, depression 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4"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Generated or collected by and used by healthcare personnel during the provision of care (e.g., blood pressure, lab value, diagnosis, depression score)  </w:t>
      </w:r>
    </w:p>
    <w:p w14:paraId="45B4F9A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79ADD51" wp14:editId="7B2944EA">
            <wp:extent cx="126984" cy="126984"/>
            <wp:effectExtent l="0" t="0" r="0" b="0"/>
            <wp:docPr id="100585" name="Picture 100585" descr="Coded by someone other than person obtaining original information (e.g., DRG, ICD-10 codes on clai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6"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Coded by someone other than person obtaining original information (e.g., DRG, ICD-10 codes on claims)  </w:t>
      </w:r>
    </w:p>
    <w:p w14:paraId="4ADA66A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945B2B3" wp14:editId="01E57A3D">
            <wp:extent cx="126984" cy="126984"/>
            <wp:effectExtent l="0" t="0" r="0" b="0"/>
            <wp:docPr id="100587" name="Picture 100587" descr="Abstracted from a record by someone other than person obtaining original information (e.g., chart abstraction for quality measure or regis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8"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Abstracted from a record by someone other than person obtaining original information (e.g., chart abstraction for quality measure or registry)  </w:t>
      </w:r>
    </w:p>
    <w:p w14:paraId="37A1704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B8F175A" wp14:editId="1B7FC372">
            <wp:extent cx="126984" cy="126984"/>
            <wp:effectExtent l="0" t="0" r="0" b="0"/>
            <wp:docPr id="100589" name="Picture 100589" descr="Other (Please descri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0"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(Please describe)  </w:t>
      </w:r>
    </w:p>
    <w:p w14:paraId="475D62E8" w14:textId="77777777" w:rsidR="00A77B3E" w:rsidRDefault="00A77B3E">
      <w:pPr>
        <w:spacing w:after="240"/>
        <w:rPr>
          <w:rFonts w:ascii="Calibri" w:eastAsia="Calibri" w:hAnsi="Calibri" w:cs="Calibri"/>
          <w:color w:val="000000"/>
          <w:sz w:val="22"/>
        </w:rPr>
      </w:pPr>
    </w:p>
    <w:p w14:paraId="64A83592"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3.02) Detail to what extent the specified data elements are available electronically in defined fields.</w:t>
      </w:r>
    </w:p>
    <w:p w14:paraId="241C1355"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t>In other words, indicate whether data elements that are needed to compute the performance measure score are in defined, computer-readable fields.</w:t>
      </w:r>
      <w:r>
        <w:rPr>
          <w:rFonts w:ascii="Calibri" w:eastAsia="Calibri" w:hAnsi="Calibri" w:cs="Calibri"/>
          <w:noProof/>
          <w:color w:val="000000"/>
          <w:sz w:val="22"/>
        </w:rPr>
        <w:drawing>
          <wp:inline distT="0" distB="0" distL="0" distR="0" wp14:anchorId="0F79BE8A" wp14:editId="4C8F6A9B">
            <wp:extent cx="126984" cy="126984"/>
            <wp:effectExtent l="0" t="0" r="0" b="0"/>
            <wp:docPr id="100591" name="Picture 100591" descr="ALL data elements are in defined fields in electronic health records (EH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2"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ALL data elements are in defined fields in electronic health records (EHRs)  </w:t>
      </w:r>
    </w:p>
    <w:p w14:paraId="641E6FE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4F9982C" wp14:editId="664F9DFC">
            <wp:extent cx="126984" cy="126984"/>
            <wp:effectExtent l="0" t="0" r="0" b="0"/>
            <wp:docPr id="100593" name="Picture 100593" descr="ALL data elements are in defined fields in electronic clai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4"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ALL data elements are in defined fields in electronic claims  </w:t>
      </w:r>
    </w:p>
    <w:p w14:paraId="7EB8E54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76CA9C3" wp14:editId="3EB94FD1">
            <wp:extent cx="126984" cy="126984"/>
            <wp:effectExtent l="0" t="0" r="0" b="0"/>
            <wp:docPr id="100595" name="Picture 100595" descr="ALL data elements are in defined fields in electronic clinical data (e.g., clinical registry, nursing home MDS, home health O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6"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ALL data elements are in defined fields in electronic clinical data (e.g., clinical registry, nursing home MDS, home health OASIS)  </w:t>
      </w:r>
    </w:p>
    <w:p w14:paraId="1641FE7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637E4AF" wp14:editId="094CECA9">
            <wp:extent cx="126984" cy="126984"/>
            <wp:effectExtent l="0" t="0" r="0" b="0"/>
            <wp:docPr id="100597" name="Picture 100597" descr="ALL data elements are in defined fields in a combination of electronic 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8"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ALL data elements are in defined fields in a combination of electronic sources  </w:t>
      </w:r>
    </w:p>
    <w:p w14:paraId="7CCBCAF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71FD620" wp14:editId="4B667572">
            <wp:extent cx="126984" cy="126984"/>
            <wp:effectExtent l="0" t="0" r="0" b="0"/>
            <wp:docPr id="100599" name="Picture 100599" descr="Some data elements are in defined fields in electronic 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0"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Some data elements are in defined fields in electronic sources  </w:t>
      </w:r>
    </w:p>
    <w:p w14:paraId="31360DE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4B47EDD" wp14:editId="0B73C612">
            <wp:extent cx="126984" cy="126984"/>
            <wp:effectExtent l="0" t="0" r="0" b="0"/>
            <wp:docPr id="100601" name="Picture 100601" descr="No data elements are in defined fields in electronic 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2"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data elements are in defined fields in electronic sources  </w:t>
      </w:r>
    </w:p>
    <w:p w14:paraId="01BFCB7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3825596" wp14:editId="6A1A4C68">
            <wp:extent cx="126984" cy="126984"/>
            <wp:effectExtent l="0" t="0" r="0" b="0"/>
            <wp:docPr id="100603" name="Picture 100603" descr="Patient/family reported information (may be electronic or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4"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Patient/family reported information (may be electronic or paper)  </w:t>
      </w:r>
    </w:p>
    <w:p w14:paraId="35ED02FF" w14:textId="77777777" w:rsidR="00A77B3E" w:rsidRDefault="00A77B3E">
      <w:pPr>
        <w:spacing w:after="240"/>
        <w:rPr>
          <w:rFonts w:ascii="Calibri" w:eastAsia="Calibri" w:hAnsi="Calibri" w:cs="Calibri"/>
          <w:color w:val="000000"/>
          <w:sz w:val="22"/>
        </w:rPr>
      </w:pPr>
    </w:p>
    <w:p w14:paraId="6098D30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3.03) If ALL the data elements needed to compute the performance measure score are not from electronic sources, specify a credible, near-term path to electronic capture, OR provide a rationale for using data elements not from electronic sources.</w:t>
      </w:r>
    </w:p>
    <w:p w14:paraId="61E4444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0D1B3880" w14:textId="77777777" w:rsidR="00A77B3E" w:rsidRDefault="00A77B3E">
      <w:pPr>
        <w:spacing w:after="240"/>
        <w:rPr>
          <w:rFonts w:ascii="Calibri" w:eastAsia="Calibri" w:hAnsi="Calibri" w:cs="Calibri"/>
          <w:color w:val="000000"/>
          <w:sz w:val="22"/>
        </w:rPr>
      </w:pPr>
    </w:p>
    <w:p w14:paraId="6853338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lastRenderedPageBreak/>
        <w:t>3.04) Describe any efforts to develop an eCQM.</w:t>
      </w:r>
    </w:p>
    <w:p w14:paraId="5AECC89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48D91191" w14:textId="77777777" w:rsidR="00A77B3E" w:rsidRDefault="00A77B3E">
      <w:pPr>
        <w:spacing w:after="240"/>
        <w:rPr>
          <w:rFonts w:ascii="Calibri" w:eastAsia="Calibri" w:hAnsi="Calibri" w:cs="Calibri"/>
          <w:color w:val="000000"/>
          <w:sz w:val="22"/>
        </w:rPr>
      </w:pPr>
    </w:p>
    <w:p w14:paraId="4A83BC0B"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3.06) Describe difficulties (as a result of testing and/or operational use of the measure) regarding data collection, availability of data, missing data, timing and frequency of data collection, sampling, patient confidentiality, time and cost of data collection, other feasibility/implementation issues.</w:t>
      </w:r>
    </w:p>
    <w:p w14:paraId="3AD1E01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None identified.</w:t>
      </w:r>
    </w:p>
    <w:p w14:paraId="208DBF80" w14:textId="77777777" w:rsidR="00A77B3E" w:rsidRDefault="00A77B3E">
      <w:pPr>
        <w:spacing w:after="240"/>
        <w:rPr>
          <w:rFonts w:ascii="Calibri" w:eastAsia="Calibri" w:hAnsi="Calibri" w:cs="Calibri"/>
          <w:color w:val="000000"/>
          <w:sz w:val="22"/>
        </w:rPr>
      </w:pPr>
    </w:p>
    <w:p w14:paraId="78F8446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Consider implications for both individuals providing data (patients, service recipients, respondents) and those whose performance is being measured.</w:t>
      </w:r>
    </w:p>
    <w:p w14:paraId="6763FD8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3.07) Detail any fees, licensing, or other requirements to use any aspect of the measure as specified (e.g., value/code set, risk model, programming code, algorithm),</w:t>
      </w:r>
    </w:p>
    <w:p w14:paraId="0201F831"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Attach the fee schedule here, if applicable.</w:t>
      </w:r>
    </w:p>
    <w:p w14:paraId="209B229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7A8B4DA1" w14:textId="77777777" w:rsidR="00A77B3E" w:rsidRDefault="00A77B3E">
      <w:pPr>
        <w:spacing w:after="240"/>
        <w:rPr>
          <w:rFonts w:ascii="Calibri" w:eastAsia="Calibri" w:hAnsi="Calibri" w:cs="Calibri"/>
          <w:color w:val="000000"/>
          <w:sz w:val="22"/>
        </w:rPr>
      </w:pPr>
    </w:p>
    <w:p w14:paraId="4D2E089B"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Use (4a.01 - 4a.10)</w:t>
      </w:r>
      <w:r>
        <w:pict w14:anchorId="0DF227CC">
          <v:rect id="_x0000_i1037" style="width:468pt;height:1pt" o:hralign="center" o:hrstd="t" o:hrnoshade="t" o:hr="t" fillcolor="#326295" stroked="f">
            <v:path strokeok="f"/>
          </v:rect>
        </w:pict>
      </w:r>
    </w:p>
    <w:p w14:paraId="7A0D0A88" w14:textId="77777777" w:rsidR="00A77B3E" w:rsidRDefault="00A77B3E">
      <w:pPr>
        <w:pStyle w:val="Heading1"/>
        <w:spacing w:before="0" w:after="240"/>
        <w:rPr>
          <w:rFonts w:ascii="Calibri" w:eastAsia="Calibri" w:hAnsi="Calibri" w:cs="Calibri"/>
          <w:b w:val="0"/>
          <w:color w:val="326295"/>
          <w:sz w:val="2"/>
        </w:rPr>
      </w:pPr>
    </w:p>
    <w:p w14:paraId="6159F6A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Extent to which intended audiences (e.g., consumers, purchasers, providers, policy makers) can understand the results of the measure and are likely to find them useful for decision making.</w:t>
      </w:r>
    </w:p>
    <w:p w14:paraId="5357FFD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NQF-endorsed measures are expected to be used in at least one accountability application within 3 years and publicly reported within 6 years of initial endorsement, in addition to demonstrating performance improvement.</w:t>
      </w:r>
    </w:p>
    <w:p w14:paraId="71FFBF0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w:t>
      </w:r>
    </w:p>
    <w:p w14:paraId="7B4FCE59" w14:textId="77777777" w:rsidR="00A77B3E" w:rsidRDefault="00A77B3E">
      <w:pPr>
        <w:spacing w:after="240"/>
        <w:rPr>
          <w:rFonts w:ascii="Calibri" w:eastAsia="Calibri" w:hAnsi="Calibri" w:cs="Calibri"/>
          <w:color w:val="000000"/>
          <w:sz w:val="22"/>
        </w:rPr>
      </w:pPr>
    </w:p>
    <w:p w14:paraId="3FAC1AB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4a.01) Check all current uses. For each current use checked, please provide: </w:t>
      </w:r>
    </w:p>
    <w:p w14:paraId="4889344C" w14:textId="77777777" w:rsidR="00A77B3E" w:rsidRDefault="00000000">
      <w:pPr>
        <w:numPr>
          <w:ilvl w:val="0"/>
          <w:numId w:val="7"/>
        </w:numPr>
        <w:spacing w:after="240"/>
        <w:rPr>
          <w:rFonts w:ascii="Calibri" w:eastAsia="Calibri" w:hAnsi="Calibri" w:cs="Calibri"/>
          <w:b/>
          <w:color w:val="000000"/>
          <w:sz w:val="22"/>
        </w:rPr>
      </w:pPr>
      <w:r>
        <w:rPr>
          <w:rFonts w:ascii="Calibri" w:eastAsia="Calibri" w:hAnsi="Calibri" w:cs="Calibri"/>
          <w:b/>
          <w:color w:val="000000"/>
          <w:sz w:val="22"/>
        </w:rPr>
        <w:t>Name of program and sponsor</w:t>
      </w:r>
    </w:p>
    <w:p w14:paraId="52A81755" w14:textId="77777777" w:rsidR="00A77B3E" w:rsidRDefault="00000000">
      <w:pPr>
        <w:numPr>
          <w:ilvl w:val="0"/>
          <w:numId w:val="7"/>
        </w:numPr>
        <w:spacing w:after="240"/>
        <w:rPr>
          <w:rFonts w:ascii="Calibri" w:eastAsia="Calibri" w:hAnsi="Calibri" w:cs="Calibri"/>
          <w:b/>
          <w:color w:val="000000"/>
          <w:sz w:val="22"/>
        </w:rPr>
      </w:pPr>
      <w:r>
        <w:rPr>
          <w:rFonts w:ascii="Calibri" w:eastAsia="Calibri" w:hAnsi="Calibri" w:cs="Calibri"/>
          <w:b/>
          <w:color w:val="000000"/>
          <w:sz w:val="22"/>
        </w:rPr>
        <w:t>URL</w:t>
      </w:r>
    </w:p>
    <w:p w14:paraId="1593FBE9" w14:textId="77777777" w:rsidR="00A77B3E" w:rsidRDefault="00000000">
      <w:pPr>
        <w:numPr>
          <w:ilvl w:val="0"/>
          <w:numId w:val="7"/>
        </w:numPr>
        <w:spacing w:after="240"/>
        <w:rPr>
          <w:rFonts w:ascii="Calibri" w:eastAsia="Calibri" w:hAnsi="Calibri" w:cs="Calibri"/>
          <w:b/>
          <w:color w:val="000000"/>
          <w:sz w:val="22"/>
        </w:rPr>
      </w:pPr>
      <w:r>
        <w:rPr>
          <w:rFonts w:ascii="Calibri" w:eastAsia="Calibri" w:hAnsi="Calibri" w:cs="Calibri"/>
          <w:b/>
          <w:color w:val="000000"/>
          <w:sz w:val="22"/>
        </w:rPr>
        <w:t>Purpose</w:t>
      </w:r>
    </w:p>
    <w:p w14:paraId="6933DFED" w14:textId="77777777" w:rsidR="00A77B3E" w:rsidRDefault="00000000">
      <w:pPr>
        <w:numPr>
          <w:ilvl w:val="0"/>
          <w:numId w:val="7"/>
        </w:numPr>
        <w:spacing w:after="240"/>
        <w:rPr>
          <w:rFonts w:ascii="Calibri" w:eastAsia="Calibri" w:hAnsi="Calibri" w:cs="Calibri"/>
          <w:b/>
          <w:color w:val="000000"/>
          <w:sz w:val="22"/>
        </w:rPr>
      </w:pPr>
      <w:r>
        <w:rPr>
          <w:rFonts w:ascii="Calibri" w:eastAsia="Calibri" w:hAnsi="Calibri" w:cs="Calibri"/>
          <w:b/>
          <w:color w:val="000000"/>
          <w:sz w:val="22"/>
        </w:rPr>
        <w:t>Geographic area and number and percentage of accountable entities and patients included</w:t>
      </w:r>
    </w:p>
    <w:p w14:paraId="06226F7A" w14:textId="77777777" w:rsidR="00A77B3E" w:rsidRDefault="00000000">
      <w:pPr>
        <w:numPr>
          <w:ilvl w:val="0"/>
          <w:numId w:val="7"/>
        </w:numPr>
        <w:spacing w:after="240"/>
        <w:rPr>
          <w:rFonts w:ascii="Calibri" w:eastAsia="Calibri" w:hAnsi="Calibri" w:cs="Calibri"/>
          <w:b/>
          <w:color w:val="000000"/>
          <w:sz w:val="22"/>
        </w:rPr>
      </w:pPr>
      <w:r>
        <w:rPr>
          <w:rFonts w:ascii="Calibri" w:eastAsia="Calibri" w:hAnsi="Calibri" w:cs="Calibri"/>
          <w:b/>
          <w:color w:val="000000"/>
          <w:sz w:val="22"/>
        </w:rPr>
        <w:t>Level of measurement and setting</w:t>
      </w:r>
    </w:p>
    <w:p w14:paraId="721B4FC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DED73CF" wp14:editId="3980969B">
            <wp:extent cx="126984" cy="126984"/>
            <wp:effectExtent l="0" t="0" r="0" b="0"/>
            <wp:docPr id="100606" name="Picture 100606" descr="Public Repor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Public Reporting  </w:t>
      </w:r>
    </w:p>
    <w:p w14:paraId="1CD0181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51E79F3" wp14:editId="4D391740">
            <wp:extent cx="126984" cy="126984"/>
            <wp:effectExtent l="0" t="0" r="0" b="0"/>
            <wp:docPr id="100608" name="Picture 100608" descr="Public Health/Disease Surveil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Public Health/Disease Surveillance  </w:t>
      </w:r>
    </w:p>
    <w:p w14:paraId="763967B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23DC007" wp14:editId="35FC94DA">
            <wp:extent cx="126984" cy="126984"/>
            <wp:effectExtent l="0" t="0" r="0" b="0"/>
            <wp:docPr id="100610" name="Picture 100610" descr="Payment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Payment Program  </w:t>
      </w:r>
    </w:p>
    <w:p w14:paraId="134C181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5E72D89" wp14:editId="00CABF68">
            <wp:extent cx="126984" cy="126984"/>
            <wp:effectExtent l="0" t="0" r="0" b="0"/>
            <wp:docPr id="100612" name="Picture 100612" descr="Regulatory and Accreditation 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Regulatory and Accreditation Programs  </w:t>
      </w:r>
    </w:p>
    <w:p w14:paraId="6945111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D1DBC10" wp14:editId="78C4B65C">
            <wp:extent cx="126984" cy="126984"/>
            <wp:effectExtent l="0" t="0" r="0" b="0"/>
            <wp:docPr id="100614" name="Picture 100614" descr="Professional Certification or Recognition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Professional Certification or Recognition Program  </w:t>
      </w:r>
    </w:p>
    <w:p w14:paraId="19AD2D9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D94D93D" wp14:editId="425ECFB4">
            <wp:extent cx="126984" cy="126984"/>
            <wp:effectExtent l="0" t="0" r="0" b="0"/>
            <wp:docPr id="100616" name="Picture 100616" descr="Quality Improvement with Benchmarking (external benchmarking to multiple organiz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Quality Improvement with Benchmarking (external benchmarking to multiple organizations)  </w:t>
      </w:r>
    </w:p>
    <w:p w14:paraId="23BAE75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A52FE5D" wp14:editId="6CF504AF">
            <wp:extent cx="126984" cy="126984"/>
            <wp:effectExtent l="0" t="0" r="0" b="0"/>
            <wp:docPr id="100618" name="Picture 100618" descr="Quality Improvement (Internal to the specific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Quality Improvement (Internal to the specific organization)  </w:t>
      </w:r>
    </w:p>
    <w:p w14:paraId="5449437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EC191AF" wp14:editId="32FE8D77">
            <wp:extent cx="126984" cy="126984"/>
            <wp:effectExtent l="0" t="0" r="0" b="0"/>
            <wp:docPr id="100620" name="Picture 100620" descr="Not in 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1"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Not in use  </w:t>
      </w:r>
    </w:p>
    <w:p w14:paraId="19AD8CF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measure is undergoing initial endorsement review.</w:t>
      </w:r>
    </w:p>
    <w:p w14:paraId="3206833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A85CC1E" wp14:editId="29F49C73">
            <wp:extent cx="126984" cy="126984"/>
            <wp:effectExtent l="0" t="0" r="0" b="0"/>
            <wp:docPr id="100622" name="Picture 100622" descr="Use unkn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Use unknown  </w:t>
      </w:r>
    </w:p>
    <w:p w14:paraId="3EE42BB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822C3CB" wp14:editId="58BDF852">
            <wp:extent cx="126984" cy="126984"/>
            <wp:effectExtent l="0" t="0" r="0" b="0"/>
            <wp:docPr id="100624" name="Picture 100624"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526D2248" w14:textId="77777777" w:rsidR="00A77B3E" w:rsidRDefault="00A77B3E">
      <w:pPr>
        <w:spacing w:after="240"/>
        <w:rPr>
          <w:rFonts w:ascii="Calibri" w:eastAsia="Calibri" w:hAnsi="Calibri" w:cs="Calibri"/>
          <w:color w:val="000000"/>
          <w:sz w:val="22"/>
        </w:rPr>
      </w:pPr>
    </w:p>
    <w:p w14:paraId="3FC8FD19"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4a.02) Check all planned uses.</w:t>
      </w:r>
    </w:p>
    <w:p w14:paraId="1CA272DD"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0AEC36C3" wp14:editId="22FD8992">
            <wp:extent cx="126984" cy="126984"/>
            <wp:effectExtent l="0" t="0" r="0" b="0"/>
            <wp:docPr id="100626" name="Picture 100626" descr="Public repor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Public reporting  </w:t>
      </w:r>
    </w:p>
    <w:p w14:paraId="1F1D4667"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3935863" wp14:editId="76B2D090">
            <wp:extent cx="126984" cy="126984"/>
            <wp:effectExtent l="0" t="0" r="0" b="0"/>
            <wp:docPr id="100628" name="Picture 100628" descr="Public Health/Disease Surveil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Public Health/Disease Surveillance  </w:t>
      </w:r>
    </w:p>
    <w:p w14:paraId="4122A726"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4F8153B" wp14:editId="7C534814">
            <wp:extent cx="126984" cy="126984"/>
            <wp:effectExtent l="0" t="0" r="0" b="0"/>
            <wp:docPr id="100630" name="Picture 100630" descr="Payment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1" name=""/>
                    <pic:cNvPicPr>
                      <a:picLocks noChangeAspect="1"/>
                    </pic:cNvPicPr>
                  </pic:nvPicPr>
                  <pic:blipFill>
                    <a:blip r:embed="rId15"/>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Payment Program  </w:t>
      </w:r>
    </w:p>
    <w:p w14:paraId="69732C7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2012AB1" wp14:editId="21CF92DB">
            <wp:extent cx="126984" cy="126984"/>
            <wp:effectExtent l="0" t="0" r="0" b="0"/>
            <wp:docPr id="100632" name="Picture 100632" descr="Regulatory and Accreditation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Regulatory and Accreditation Program  </w:t>
      </w:r>
    </w:p>
    <w:p w14:paraId="027D3B35"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341AB22" wp14:editId="794F0D71">
            <wp:extent cx="126984" cy="126984"/>
            <wp:effectExtent l="0" t="0" r="0" b="0"/>
            <wp:docPr id="100634" name="Picture 100634" descr="Professional Certification or Recognition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5"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Professional Certification or Recognition Program  </w:t>
      </w:r>
    </w:p>
    <w:p w14:paraId="1955044C"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68C39CF0" wp14:editId="33688AD0">
            <wp:extent cx="126984" cy="126984"/>
            <wp:effectExtent l="0" t="0" r="0" b="0"/>
            <wp:docPr id="100636" name="Picture 100636" descr="Quality Improvement with Benchmarking (external benchmarking to multiple organiz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Quality Improvement with Benchmarking (external benchmarking to multiple organizations)  </w:t>
      </w:r>
    </w:p>
    <w:p w14:paraId="6D92993F"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4CA22F6B" wp14:editId="0501FE42">
            <wp:extent cx="126984" cy="126984"/>
            <wp:effectExtent l="0" t="0" r="0" b="0"/>
            <wp:docPr id="100638" name="Picture 100638" descr="Quality Improvement (internal to the specific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9"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Quality Improvement (internal to the specific organization)  </w:t>
      </w:r>
    </w:p>
    <w:p w14:paraId="2C0DFB3A"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883CA0C" wp14:editId="32EAFE4F">
            <wp:extent cx="126984" cy="126984"/>
            <wp:effectExtent l="0" t="0" r="0" b="0"/>
            <wp:docPr id="100640" name="Picture 100640" descr="Measure Currently in 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1"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Measure Currently in Use  </w:t>
      </w:r>
    </w:p>
    <w:p w14:paraId="2F6BA4EE"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7C2AEF44" wp14:editId="162A0A5A">
            <wp:extent cx="126984" cy="126984"/>
            <wp:effectExtent l="0" t="0" r="0" b="0"/>
            <wp:docPr id="100642" name="Picture 100642" descr="Other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3" name=""/>
                    <pic:cNvPicPr>
                      <a:picLocks noChangeAspect="1"/>
                    </pic:cNvPicPr>
                  </pic:nvPicPr>
                  <pic:blipFill>
                    <a:blip r:embed="rId17"/>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Other (specify)  </w:t>
      </w:r>
    </w:p>
    <w:p w14:paraId="4FA31587" w14:textId="77777777" w:rsidR="00A77B3E" w:rsidRDefault="00A77B3E">
      <w:pPr>
        <w:spacing w:after="240"/>
        <w:rPr>
          <w:rFonts w:ascii="Calibri" w:eastAsia="Calibri" w:hAnsi="Calibri" w:cs="Calibri"/>
          <w:color w:val="000000"/>
          <w:sz w:val="22"/>
        </w:rPr>
      </w:pPr>
    </w:p>
    <w:p w14:paraId="3E7DB86E"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4a.03) If not currently publicly reported OR used in at least one other accountability application (e.g., payment program, certification, licensing), explain why the measure is not in use.</w:t>
      </w:r>
    </w:p>
    <w:p w14:paraId="78192C60"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For example, do policies or actions of the developer/steward or accountable entities restrict access to performance results or block </w:t>
      </w:r>
      <w:proofErr w:type="spellStart"/>
      <w:r>
        <w:rPr>
          <w:rFonts w:ascii="Calibri" w:eastAsia="Calibri" w:hAnsi="Calibri" w:cs="Calibri"/>
          <w:i/>
          <w:iCs/>
          <w:color w:val="000000"/>
          <w:sz w:val="22"/>
        </w:rPr>
        <w:t>implementation?</w:t>
      </w:r>
      <w:r>
        <w:rPr>
          <w:rFonts w:ascii="Calibri" w:eastAsia="Calibri" w:hAnsi="Calibri" w:cs="Calibri"/>
          <w:color w:val="000000"/>
          <w:sz w:val="22"/>
        </w:rPr>
        <w:t>The</w:t>
      </w:r>
      <w:proofErr w:type="spellEnd"/>
      <w:r>
        <w:rPr>
          <w:rFonts w:ascii="Calibri" w:eastAsia="Calibri" w:hAnsi="Calibri" w:cs="Calibri"/>
          <w:color w:val="000000"/>
          <w:sz w:val="22"/>
        </w:rPr>
        <w:t xml:space="preserve"> measure is undergoing initial endorsement review.</w:t>
      </w:r>
    </w:p>
    <w:p w14:paraId="78C84599" w14:textId="77777777" w:rsidR="00A77B3E" w:rsidRDefault="00A77B3E">
      <w:pPr>
        <w:spacing w:after="240"/>
        <w:rPr>
          <w:rFonts w:ascii="Calibri" w:eastAsia="Calibri" w:hAnsi="Calibri" w:cs="Calibri"/>
          <w:color w:val="000000"/>
          <w:sz w:val="22"/>
        </w:rPr>
      </w:pPr>
    </w:p>
    <w:p w14:paraId="3622FFFC"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4a.04) If not currently publicly reported OR used in at least one other accountability application, provide a credible plan for implementation within the expected timeframes: used in any accountability application within 3 years, and publicly reported within 6 years of initial endorsement.</w:t>
      </w:r>
    </w:p>
    <w:p w14:paraId="77C334B2"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A credible plan includes the specific program, purpose, intended audience, and timeline for implementing the measure within the specified timeframes. A plan for accountability applications addresses mechanisms for data aggregation and </w:t>
      </w:r>
      <w:proofErr w:type="spellStart"/>
      <w:r>
        <w:rPr>
          <w:rFonts w:ascii="Calibri" w:eastAsia="Calibri" w:hAnsi="Calibri" w:cs="Calibri"/>
          <w:i/>
          <w:iCs/>
          <w:color w:val="000000"/>
          <w:sz w:val="22"/>
        </w:rPr>
        <w:t>reporting.</w:t>
      </w:r>
      <w:r>
        <w:rPr>
          <w:rFonts w:ascii="Calibri" w:eastAsia="Calibri" w:hAnsi="Calibri" w:cs="Calibri"/>
          <w:color w:val="000000"/>
          <w:sz w:val="22"/>
        </w:rPr>
        <w:t>CMS</w:t>
      </w:r>
      <w:proofErr w:type="spellEnd"/>
      <w:r>
        <w:rPr>
          <w:rFonts w:ascii="Calibri" w:eastAsia="Calibri" w:hAnsi="Calibri" w:cs="Calibri"/>
          <w:color w:val="000000"/>
          <w:sz w:val="22"/>
        </w:rPr>
        <w:t xml:space="preserve"> will determine if/when to report this measure in a public reporting/payment program. One potential application for the measure is in the Quality Payment Program where it would be one of several optional measures that a group practice could select in their evaluation.</w:t>
      </w:r>
    </w:p>
    <w:p w14:paraId="16C97BD0" w14:textId="77777777" w:rsidR="00A77B3E" w:rsidRDefault="00A77B3E">
      <w:pPr>
        <w:spacing w:after="240"/>
        <w:rPr>
          <w:rFonts w:ascii="Calibri" w:eastAsia="Calibri" w:hAnsi="Calibri" w:cs="Calibri"/>
          <w:color w:val="000000"/>
          <w:sz w:val="22"/>
        </w:rPr>
      </w:pPr>
    </w:p>
    <w:p w14:paraId="4A9FAACF"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4a.05) Describe how performance results, data, and assistance with interpretation have been provided to those being measured or other users during development or implementation.</w:t>
      </w:r>
    </w:p>
    <w:p w14:paraId="6A68B5A4"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Detail how many and which types of measured entities and/or others were included. If only a sample of measured entities were included, describe the full population and how the sample was </w:t>
      </w:r>
      <w:proofErr w:type="spellStart"/>
      <w:r>
        <w:rPr>
          <w:rFonts w:ascii="Calibri" w:eastAsia="Calibri" w:hAnsi="Calibri" w:cs="Calibri"/>
          <w:i/>
          <w:iCs/>
          <w:color w:val="000000"/>
          <w:sz w:val="22"/>
        </w:rPr>
        <w:lastRenderedPageBreak/>
        <w:t>selected.</w:t>
      </w:r>
      <w:r>
        <w:rPr>
          <w:rFonts w:ascii="Calibri" w:eastAsia="Calibri" w:hAnsi="Calibri" w:cs="Calibri"/>
          <w:color w:val="000000"/>
          <w:sz w:val="22"/>
        </w:rPr>
        <w:t>Practitioner</w:t>
      </w:r>
      <w:proofErr w:type="spellEnd"/>
      <w:r>
        <w:rPr>
          <w:rFonts w:ascii="Calibri" w:eastAsia="Calibri" w:hAnsi="Calibri" w:cs="Calibri"/>
          <w:color w:val="000000"/>
          <w:sz w:val="22"/>
        </w:rPr>
        <w:t xml:space="preserve"> group level results have not been disseminated to those being measured as part of the development process. The measure developer sought input from a technical expert panel during development, and those deliberations were open to the public. The TEP summary report was also posted publicly on the CMS website (and is now posted </w:t>
      </w:r>
      <w:hyperlink r:id="rId32" w:tgtFrame="_blank" w:history="1">
        <w:r>
          <w:rPr>
            <w:rFonts w:ascii="Calibri" w:eastAsia="Calibri" w:hAnsi="Calibri" w:cs="Calibri"/>
            <w:color w:val="0000FF"/>
            <w:sz w:val="22"/>
            <w:u w:val="single" w:color="0000FF"/>
          </w:rPr>
          <w:t>here</w:t>
        </w:r>
      </w:hyperlink>
      <w:r>
        <w:rPr>
          <w:rFonts w:ascii="Calibri" w:eastAsia="Calibri" w:hAnsi="Calibri" w:cs="Calibri"/>
          <w:color w:val="000000"/>
          <w:sz w:val="22"/>
        </w:rPr>
        <w:t>). The TEP was comprised of stakeholders representing nephrologist (relevant directly to the target of the measure) and dialysis patient perspectives.</w:t>
      </w:r>
    </w:p>
    <w:p w14:paraId="4E0D4ABD" w14:textId="77777777" w:rsidR="00A77B3E" w:rsidRDefault="00A77B3E">
      <w:pPr>
        <w:spacing w:after="240"/>
        <w:rPr>
          <w:rFonts w:ascii="Calibri" w:eastAsia="Calibri" w:hAnsi="Calibri" w:cs="Calibri"/>
          <w:color w:val="000000"/>
          <w:sz w:val="22"/>
        </w:rPr>
      </w:pPr>
    </w:p>
    <w:p w14:paraId="6EF91FA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4a.06) Describe the process for providing measure results, including when/how often results were provided, what data were provided, what educational/explanatory efforts were made, etc.</w:t>
      </w:r>
    </w:p>
    <w:p w14:paraId="6640588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Physician group results have not been disseminated to those being measured as part of the development process.</w:t>
      </w:r>
    </w:p>
    <w:p w14:paraId="4D922869" w14:textId="77777777" w:rsidR="00A77B3E" w:rsidRDefault="00A77B3E">
      <w:pPr>
        <w:spacing w:after="240"/>
        <w:rPr>
          <w:rFonts w:ascii="Calibri" w:eastAsia="Calibri" w:hAnsi="Calibri" w:cs="Calibri"/>
          <w:color w:val="000000"/>
          <w:sz w:val="22"/>
        </w:rPr>
      </w:pPr>
    </w:p>
    <w:p w14:paraId="7B252267"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4a.07) Summarize the feedback on measure performance and implementation from the measured entities and others. Describe how feedback was obtained.</w:t>
      </w:r>
    </w:p>
    <w:p w14:paraId="5AA5B69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Not applicable since the measure is not yet implemented, and results have not been disseminated.</w:t>
      </w:r>
    </w:p>
    <w:p w14:paraId="225A8B5C" w14:textId="77777777" w:rsidR="00A77B3E" w:rsidRDefault="00A77B3E">
      <w:pPr>
        <w:spacing w:after="240"/>
        <w:rPr>
          <w:rFonts w:ascii="Calibri" w:eastAsia="Calibri" w:hAnsi="Calibri" w:cs="Calibri"/>
          <w:color w:val="000000"/>
          <w:sz w:val="22"/>
        </w:rPr>
      </w:pPr>
    </w:p>
    <w:p w14:paraId="06A10D5C"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4a.08) Summarize the feedback obtained from those being measured.</w:t>
      </w:r>
    </w:p>
    <w:p w14:paraId="6B8A3A1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 described above, the developer sought input from a technical expert panel during the development of this measure. This group was comprised of stakeholders from nephrologists (those being measured) as well as other stakeholders including a significant number of dialysis/transplant patients. The TEP discussed four waitlisting measures during their deliberations, of which this measure was one.</w:t>
      </w:r>
    </w:p>
    <w:p w14:paraId="30E382F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With respect to the four provisional practitioner level waitlisting measures proposed to the TEP, voting demonstrated majority support for continued development of all of them, including this measure. Support for the measure based on TEP discussions reflected the importance of waitlisting, given it is a crucial and necessary step for transplantation and may confer emotional benefits to patients. In addition, dialysis practitioners can directly contribute to processes necessary for eventual waitlisting, such as educating patients about the benefits of transplantation and assisting with referral to transplant centers for evaluation. TEP members did raise a number of concerns regarding the measure definition, including the need for strong risk adjustment in the areas of social-economic status and comorbid conditions. An adjustment for transplant center effects was also recommended.</w:t>
      </w:r>
    </w:p>
    <w:p w14:paraId="2324D67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full summary of the TEP feedback can be found </w:t>
      </w:r>
      <w:hyperlink r:id="rId33" w:tgtFrame="_blank" w:history="1">
        <w:r>
          <w:rPr>
            <w:rFonts w:ascii="Calibri" w:eastAsia="Calibri" w:hAnsi="Calibri" w:cs="Calibri"/>
            <w:color w:val="0000FF"/>
            <w:sz w:val="22"/>
            <w:u w:val="single" w:color="0000FF"/>
          </w:rPr>
          <w:t>here</w:t>
        </w:r>
      </w:hyperlink>
      <w:r>
        <w:rPr>
          <w:rFonts w:ascii="Calibri" w:eastAsia="Calibri" w:hAnsi="Calibri" w:cs="Calibri"/>
          <w:color w:val="000000"/>
          <w:sz w:val="22"/>
        </w:rPr>
        <w:t>.</w:t>
      </w:r>
    </w:p>
    <w:p w14:paraId="57454430" w14:textId="77777777" w:rsidR="00A77B3E" w:rsidRDefault="00A77B3E">
      <w:pPr>
        <w:spacing w:after="240"/>
        <w:rPr>
          <w:rFonts w:ascii="Calibri" w:eastAsia="Calibri" w:hAnsi="Calibri" w:cs="Calibri"/>
          <w:color w:val="000000"/>
          <w:sz w:val="22"/>
        </w:rPr>
      </w:pPr>
    </w:p>
    <w:p w14:paraId="1755C9EB" w14:textId="77777777" w:rsidR="00A77B3E" w:rsidRDefault="00A77B3E">
      <w:pPr>
        <w:spacing w:after="240"/>
        <w:rPr>
          <w:rFonts w:ascii="Calibri" w:eastAsia="Calibri" w:hAnsi="Calibri" w:cs="Calibri"/>
          <w:color w:val="000000"/>
          <w:sz w:val="22"/>
        </w:rPr>
      </w:pPr>
    </w:p>
    <w:p w14:paraId="5130061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4a.09) Summarize the feedback obtained from other users.</w:t>
      </w:r>
    </w:p>
    <w:p w14:paraId="3A66E31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See 4a.08.</w:t>
      </w:r>
    </w:p>
    <w:p w14:paraId="1822ECC8" w14:textId="77777777" w:rsidR="00A77B3E" w:rsidRDefault="00A77B3E">
      <w:pPr>
        <w:spacing w:after="240"/>
        <w:rPr>
          <w:rFonts w:ascii="Calibri" w:eastAsia="Calibri" w:hAnsi="Calibri" w:cs="Calibri"/>
          <w:color w:val="000000"/>
          <w:sz w:val="22"/>
        </w:rPr>
      </w:pPr>
    </w:p>
    <w:p w14:paraId="0EE27F10"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4a.10) Describe how the feedback described has been considered when developing or revising the measure specifications or implementation, including whether the measure was modified and why or why not.</w:t>
      </w:r>
    </w:p>
    <w:p w14:paraId="22314A7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 part of the TEP process, the developer presented the TEP with two existing waitlist measures that are currently publicly reported at the facility level as a starting point for development of practitioner-level measures. This measure (one of four resulting from TEP discussion) reflects the input from the TEP on how the construction of the facility level measures should be revised in order to be adapted to the practitioner level and addresses the concerns raised about appropriate risk adjustment.</w:t>
      </w:r>
    </w:p>
    <w:p w14:paraId="5801FC1C" w14:textId="77777777" w:rsidR="00A77B3E" w:rsidRDefault="00A77B3E">
      <w:pPr>
        <w:spacing w:after="240"/>
        <w:rPr>
          <w:rFonts w:ascii="Calibri" w:eastAsia="Calibri" w:hAnsi="Calibri" w:cs="Calibri"/>
          <w:color w:val="000000"/>
          <w:sz w:val="22"/>
        </w:rPr>
      </w:pPr>
    </w:p>
    <w:p w14:paraId="5F31B24F"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Usability (4b.01 - 4b.03)</w:t>
      </w:r>
      <w:r>
        <w:pict w14:anchorId="65DBE1E7">
          <v:rect id="_x0000_i1038" style="width:468pt;height:1pt" o:hralign="center" o:hrstd="t" o:hrnoshade="t" o:hr="t" fillcolor="#326295" stroked="f">
            <v:path strokeok="f"/>
          </v:rect>
        </w:pict>
      </w:r>
    </w:p>
    <w:p w14:paraId="10926F5F" w14:textId="77777777" w:rsidR="00A77B3E" w:rsidRDefault="00A77B3E">
      <w:pPr>
        <w:pStyle w:val="Heading1"/>
        <w:spacing w:before="0" w:after="240"/>
        <w:rPr>
          <w:rFonts w:ascii="Calibri" w:eastAsia="Calibri" w:hAnsi="Calibri" w:cs="Calibri"/>
          <w:b w:val="0"/>
          <w:color w:val="326295"/>
          <w:sz w:val="2"/>
        </w:rPr>
      </w:pPr>
    </w:p>
    <w:p w14:paraId="5CC74DD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4b.01) You may refer to data provided in Importance to Measure and Report: Gap in Care/Disparities, but do not repeat here. Discuss any progress on improvement (trends in performance results, number and percentage of people receiving high-quality healthcare; Geographic area and number and percentage of accountable entities and patients included). If no improvement was demonstrated, provide an explanation. If not in use for performance improvement at the time of initial endorsement, provide a credible rationale that describes how the performance results could be used to further the goal of high-quality, efficient healthcare for individuals or populations.</w:t>
      </w:r>
    </w:p>
    <w:p w14:paraId="650282D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The measure is not yet implemented in a public reporting program, so improvement could not be evaluated.  CMS currently anticipates implementation of this waitlisting measure. Once implemented dialysis practitioner group practice performance on the measure can be evaluated to determine if the measure has supported and detected quality improvement in waitlisting rates among the target population.</w:t>
      </w:r>
    </w:p>
    <w:p w14:paraId="2C61E8AB" w14:textId="77777777" w:rsidR="00A77B3E" w:rsidRDefault="00A77B3E">
      <w:pPr>
        <w:spacing w:after="240"/>
        <w:rPr>
          <w:rFonts w:ascii="Calibri" w:eastAsia="Calibri" w:hAnsi="Calibri" w:cs="Calibri"/>
          <w:color w:val="000000"/>
          <w:sz w:val="22"/>
        </w:rPr>
      </w:pPr>
    </w:p>
    <w:p w14:paraId="43279FF1"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4b.02) Explain any unexpected findings (positive or negative) during implementation of this measure, including unintended impacts on patients.</w:t>
      </w:r>
    </w:p>
    <w:p w14:paraId="622FC6C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None.</w:t>
      </w:r>
    </w:p>
    <w:p w14:paraId="5DE8AAA9" w14:textId="77777777" w:rsidR="00A77B3E" w:rsidRDefault="00A77B3E">
      <w:pPr>
        <w:spacing w:after="240"/>
        <w:rPr>
          <w:rFonts w:ascii="Calibri" w:eastAsia="Calibri" w:hAnsi="Calibri" w:cs="Calibri"/>
          <w:color w:val="000000"/>
          <w:sz w:val="22"/>
        </w:rPr>
      </w:pPr>
    </w:p>
    <w:p w14:paraId="41E7F959"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4b.03) Explain any unexpected benefits realized from implementation of this measure.</w:t>
      </w:r>
    </w:p>
    <w:p w14:paraId="7B55B10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None.</w:t>
      </w:r>
    </w:p>
    <w:p w14:paraId="2174863A" w14:textId="77777777" w:rsidR="00A77B3E" w:rsidRDefault="00A77B3E">
      <w:pPr>
        <w:spacing w:after="240"/>
        <w:rPr>
          <w:rFonts w:ascii="Calibri" w:eastAsia="Calibri" w:hAnsi="Calibri" w:cs="Calibri"/>
          <w:color w:val="000000"/>
          <w:sz w:val="22"/>
        </w:rPr>
      </w:pPr>
    </w:p>
    <w:p w14:paraId="0E4E1326"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Related and Competing (5.01 - 5.06)</w:t>
      </w:r>
      <w:r>
        <w:pict w14:anchorId="3F765880">
          <v:rect id="_x0000_i1039" style="width:468pt;height:1pt" o:hralign="center" o:hrstd="t" o:hrnoshade="t" o:hr="t" fillcolor="#326295" stroked="f">
            <v:path strokeok="f"/>
          </v:rect>
        </w:pict>
      </w:r>
    </w:p>
    <w:p w14:paraId="6441557F" w14:textId="77777777" w:rsidR="00A77B3E" w:rsidRDefault="00A77B3E">
      <w:pPr>
        <w:pStyle w:val="Heading1"/>
        <w:spacing w:before="0" w:after="240"/>
        <w:rPr>
          <w:rFonts w:ascii="Calibri" w:eastAsia="Calibri" w:hAnsi="Calibri" w:cs="Calibri"/>
          <w:b w:val="0"/>
          <w:color w:val="326295"/>
          <w:sz w:val="2"/>
        </w:rPr>
      </w:pPr>
    </w:p>
    <w:p w14:paraId="3979C7E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If you are updating a maintenance measure submission for the first time in MIMS, please note that the previous related and competing data appearing in question 5.03 may need to be entered in to 5.01 and 5.02, if the measures are NQF endorsed. Please review and update questions 5.01, 5.02, and 5.03 accordingly.</w:t>
      </w:r>
    </w:p>
    <w:p w14:paraId="0FF779F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5.01) Search and select all NQF-endorsed related measures (conceptually, either same measure focus or target population).</w:t>
      </w:r>
    </w:p>
    <w:p w14:paraId="240E81F3"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t>(Can search and select measures.)</w:t>
      </w:r>
      <w:r>
        <w:rPr>
          <w:rFonts w:ascii="Calibri" w:eastAsia="Calibri" w:hAnsi="Calibri" w:cs="Calibri"/>
          <w:color w:val="000000"/>
          <w:sz w:val="22"/>
        </w:rPr>
        <w:t>3695: Percentage of Prevalent Patients Waitlisted (PPPW)</w:t>
      </w:r>
    </w:p>
    <w:p w14:paraId="5B9C07DD" w14:textId="77777777" w:rsidR="00A77B3E" w:rsidRDefault="00A77B3E">
      <w:pPr>
        <w:spacing w:after="240"/>
        <w:rPr>
          <w:rFonts w:ascii="Calibri" w:eastAsia="Calibri" w:hAnsi="Calibri" w:cs="Calibri"/>
          <w:color w:val="000000"/>
          <w:sz w:val="22"/>
        </w:rPr>
      </w:pPr>
    </w:p>
    <w:p w14:paraId="0BE69928"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5.02) Search and select all NQF-endorsed competing measures (conceptually, the measures have both the same measure focus or target population).</w:t>
      </w:r>
    </w:p>
    <w:p w14:paraId="288E4E47"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t>(Can search and select measures.)</w:t>
      </w:r>
    </w:p>
    <w:p w14:paraId="765DBCD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5.03) If there are related or competing measures to this measure, but they are not NQF-endorsed, please indicate the measure title and steward.</w:t>
      </w:r>
    </w:p>
    <w:p w14:paraId="0522E6D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Standardized First Kidney Transplant Waitlist Ratio for Incident Dialysis Patients (SWR), Centers for Medicare and Medicaid Services</w:t>
      </w:r>
    </w:p>
    <w:p w14:paraId="26FE927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Percentage of Prevalent Patients Waitlisted (PPPW), Centers for Medicare and Medicaid Services</w:t>
      </w:r>
    </w:p>
    <w:p w14:paraId="0F456FDE" w14:textId="77777777" w:rsidR="00A77B3E" w:rsidRDefault="00A77B3E">
      <w:pPr>
        <w:spacing w:after="240"/>
        <w:rPr>
          <w:rFonts w:ascii="Calibri" w:eastAsia="Calibri" w:hAnsi="Calibri" w:cs="Calibri"/>
          <w:color w:val="000000"/>
          <w:sz w:val="22"/>
        </w:rPr>
      </w:pPr>
    </w:p>
    <w:p w14:paraId="75E1578F" w14:textId="77777777" w:rsidR="00A77B3E" w:rsidRDefault="00A77B3E">
      <w:pPr>
        <w:spacing w:after="240"/>
        <w:rPr>
          <w:rFonts w:ascii="Calibri" w:eastAsia="Calibri" w:hAnsi="Calibri" w:cs="Calibri"/>
          <w:color w:val="000000"/>
          <w:sz w:val="22"/>
        </w:rPr>
      </w:pPr>
    </w:p>
    <w:p w14:paraId="60E906D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5.04) If this measure conceptually addresses EITHER the same measure focus OR the same target population as NQF-endorsed measure(s), indicate whether the measure specifications are harmonized to the extent possible.</w:t>
      </w:r>
    </w:p>
    <w:p w14:paraId="66B7D2D9"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A2DEA76" wp14:editId="0E88810B">
            <wp:extent cx="126984" cy="126984"/>
            <wp:effectExtent l="0" t="0" r="0" b="0"/>
            <wp:docPr id="100646" name="Picture 100646" descr="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7"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Yes  </w:t>
      </w:r>
    </w:p>
    <w:p w14:paraId="3520B4E3"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25CB441C" wp14:editId="0200BA18">
            <wp:extent cx="126984" cy="126984"/>
            <wp:effectExtent l="0" t="0" r="0" b="0"/>
            <wp:docPr id="100648" name="Picture 100648" desc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9"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w:t>
      </w:r>
    </w:p>
    <w:p w14:paraId="42C82B14" w14:textId="77777777" w:rsidR="00A77B3E" w:rsidRDefault="00A77B3E">
      <w:pPr>
        <w:spacing w:after="240"/>
        <w:rPr>
          <w:rFonts w:ascii="Calibri" w:eastAsia="Calibri" w:hAnsi="Calibri" w:cs="Calibri"/>
          <w:color w:val="000000"/>
          <w:sz w:val="22"/>
        </w:rPr>
      </w:pPr>
    </w:p>
    <w:p w14:paraId="1429641A"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5.05) If the measure specifications are not completely harmonized, identify the differences, rationale, and impact on interpretability and data collection burden.</w:t>
      </w:r>
    </w:p>
    <w:p w14:paraId="12F1F80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67C45844" w14:textId="77777777" w:rsidR="00A77B3E" w:rsidRDefault="00A77B3E">
      <w:pPr>
        <w:spacing w:after="240"/>
        <w:rPr>
          <w:rFonts w:ascii="Calibri" w:eastAsia="Calibri" w:hAnsi="Calibri" w:cs="Calibri"/>
          <w:color w:val="000000"/>
          <w:sz w:val="22"/>
        </w:rPr>
      </w:pPr>
    </w:p>
    <w:p w14:paraId="727B05FC"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5.06) Describe why this measure is superior to competing measures (e.g., a more valid or efficient way to measure quality). Alternatively, justify endorsing an additional measure.</w:t>
      </w:r>
    </w:p>
    <w:p w14:paraId="74A19A37" w14:textId="77777777" w:rsidR="00A77B3E" w:rsidRDefault="00000000">
      <w:pPr>
        <w:spacing w:after="240"/>
        <w:rPr>
          <w:rFonts w:ascii="Calibri" w:eastAsia="Calibri" w:hAnsi="Calibri" w:cs="Calibri"/>
          <w:color w:val="000000"/>
          <w:sz w:val="22"/>
        </w:rPr>
      </w:pPr>
      <w:r>
        <w:rPr>
          <w:rFonts w:ascii="Calibri" w:eastAsia="Calibri" w:hAnsi="Calibri" w:cs="Calibri"/>
          <w:i/>
          <w:iCs/>
          <w:color w:val="000000"/>
          <w:sz w:val="22"/>
        </w:rPr>
        <w:t xml:space="preserve">Provide analyses when </w:t>
      </w:r>
      <w:proofErr w:type="spellStart"/>
      <w:r>
        <w:rPr>
          <w:rFonts w:ascii="Calibri" w:eastAsia="Calibri" w:hAnsi="Calibri" w:cs="Calibri"/>
          <w:i/>
          <w:iCs/>
          <w:color w:val="000000"/>
          <w:sz w:val="22"/>
        </w:rPr>
        <w:t>possible.</w:t>
      </w:r>
      <w:r>
        <w:rPr>
          <w:rFonts w:ascii="Calibri" w:eastAsia="Calibri" w:hAnsi="Calibri" w:cs="Calibri"/>
          <w:color w:val="000000"/>
          <w:sz w:val="22"/>
        </w:rPr>
        <w:t>N</w:t>
      </w:r>
      <w:proofErr w:type="spellEnd"/>
      <w:r>
        <w:rPr>
          <w:rFonts w:ascii="Calibri" w:eastAsia="Calibri" w:hAnsi="Calibri" w:cs="Calibri"/>
          <w:color w:val="000000"/>
          <w:sz w:val="22"/>
        </w:rPr>
        <w:t>/A</w:t>
      </w:r>
    </w:p>
    <w:p w14:paraId="76A631FA" w14:textId="77777777" w:rsidR="00A77B3E" w:rsidRDefault="00A77B3E">
      <w:pPr>
        <w:spacing w:after="240"/>
        <w:rPr>
          <w:rFonts w:ascii="Calibri" w:eastAsia="Calibri" w:hAnsi="Calibri" w:cs="Calibri"/>
          <w:color w:val="000000"/>
          <w:sz w:val="22"/>
        </w:rPr>
      </w:pPr>
    </w:p>
    <w:p w14:paraId="60D849B7" w14:textId="77777777" w:rsidR="00A77B3E" w:rsidRDefault="00000000">
      <w:pPr>
        <w:pStyle w:val="Heading1"/>
        <w:spacing w:before="0" w:after="240"/>
        <w:rPr>
          <w:rFonts w:ascii="Calibri" w:eastAsia="Calibri" w:hAnsi="Calibri" w:cs="Calibri"/>
          <w:b w:val="0"/>
          <w:color w:val="326295"/>
          <w:sz w:val="2"/>
        </w:rPr>
      </w:pPr>
      <w:r>
        <w:rPr>
          <w:rFonts w:ascii="Calibri" w:eastAsia="Calibri" w:hAnsi="Calibri" w:cs="Calibri"/>
          <w:b w:val="0"/>
          <w:color w:val="000000"/>
          <w:sz w:val="22"/>
        </w:rPr>
        <w:br w:type="page"/>
      </w:r>
      <w:r>
        <w:rPr>
          <w:rFonts w:ascii="Calibri" w:eastAsia="Calibri" w:hAnsi="Calibri" w:cs="Calibri"/>
          <w:b w:val="0"/>
          <w:color w:val="326295"/>
          <w:sz w:val="40"/>
        </w:rPr>
        <w:lastRenderedPageBreak/>
        <w:t>Additional (1 - 9)</w:t>
      </w:r>
      <w:r>
        <w:pict w14:anchorId="70EFEEFA">
          <v:rect id="_x0000_i1040" style="width:468pt;height:1pt" o:hralign="center" o:hrstd="t" o:hrnoshade="t" o:hr="t" fillcolor="#326295" stroked="f">
            <v:path strokeok="f"/>
          </v:rect>
        </w:pict>
      </w:r>
    </w:p>
    <w:p w14:paraId="6490E219" w14:textId="77777777" w:rsidR="00A77B3E" w:rsidRDefault="00A77B3E">
      <w:pPr>
        <w:pStyle w:val="Heading1"/>
        <w:spacing w:before="0" w:after="240"/>
        <w:rPr>
          <w:rFonts w:ascii="Calibri" w:eastAsia="Calibri" w:hAnsi="Calibri" w:cs="Calibri"/>
          <w:b w:val="0"/>
          <w:color w:val="326295"/>
          <w:sz w:val="2"/>
        </w:rPr>
      </w:pPr>
    </w:p>
    <w:p w14:paraId="253EB32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1) Provide any supplemental materials, if needed, as an appendix. All supplemental materials (such as data collection instrument or methodology reports) should be collated one file with a table of contents or bookmarks. If material pertains to a specific criterion, that should be indicated.</w:t>
      </w:r>
    </w:p>
    <w:p w14:paraId="716B7904"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3FAFD8DF" wp14:editId="581FAAB8">
            <wp:extent cx="126984" cy="126984"/>
            <wp:effectExtent l="0" t="0" r="0" b="0"/>
            <wp:docPr id="100651" name="Picture 100651" descr="Available in attached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2" name=""/>
                    <pic:cNvPicPr>
                      <a:picLocks noChangeAspect="1"/>
                    </pic:cNvPicPr>
                  </pic:nvPicPr>
                  <pic:blipFill>
                    <a:blip r:embed="rId11"/>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Available in attached file  </w:t>
      </w:r>
    </w:p>
    <w:p w14:paraId="430E81D8"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51E5282A" wp14:editId="5F42AC7F">
            <wp:extent cx="126984" cy="126984"/>
            <wp:effectExtent l="0" t="0" r="0" b="0"/>
            <wp:docPr id="100653" name="Picture 100653" descr="No 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4"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No appendix  </w:t>
      </w:r>
    </w:p>
    <w:p w14:paraId="1E980AD2" w14:textId="77777777" w:rsidR="00A77B3E" w:rsidRDefault="00000000">
      <w:pPr>
        <w:spacing w:after="240"/>
        <w:rPr>
          <w:rFonts w:ascii="Calibri" w:eastAsia="Calibri" w:hAnsi="Calibri" w:cs="Calibri"/>
          <w:color w:val="000000"/>
          <w:sz w:val="22"/>
        </w:rPr>
      </w:pPr>
      <w:r>
        <w:rPr>
          <w:rFonts w:ascii="Calibri" w:eastAsia="Calibri" w:hAnsi="Calibri" w:cs="Calibri"/>
          <w:noProof/>
          <w:color w:val="000000"/>
          <w:sz w:val="22"/>
        </w:rPr>
        <w:drawing>
          <wp:inline distT="0" distB="0" distL="0" distR="0" wp14:anchorId="1BE06ACA" wp14:editId="0B6D9B62">
            <wp:extent cx="126984" cy="126984"/>
            <wp:effectExtent l="0" t="0" r="0" b="0"/>
            <wp:docPr id="100655" name="Picture 100655" descr="Available at measure-specific web page URL identified in sp.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6" name=""/>
                    <pic:cNvPicPr>
                      <a:picLocks noChangeAspect="1"/>
                    </pic:cNvPicPr>
                  </pic:nvPicPr>
                  <pic:blipFill>
                    <a:blip r:embed="rId10"/>
                    <a:stretch>
                      <a:fillRect/>
                    </a:stretch>
                  </pic:blipFill>
                  <pic:spPr>
                    <a:xfrm>
                      <a:off x="0" y="0"/>
                      <a:ext cx="126984" cy="126984"/>
                    </a:xfrm>
                    <a:prstGeom prst="rect">
                      <a:avLst/>
                    </a:prstGeom>
                  </pic:spPr>
                </pic:pic>
              </a:graphicData>
            </a:graphic>
          </wp:inline>
        </w:drawing>
      </w:r>
      <w:r>
        <w:rPr>
          <w:rFonts w:ascii="Calibri" w:eastAsia="Calibri" w:hAnsi="Calibri" w:cs="Calibri"/>
          <w:color w:val="000000"/>
          <w:sz w:val="22"/>
        </w:rPr>
        <w:t xml:space="preserve"> Available at measure-specific web page URL identified in sp.09  </w:t>
      </w:r>
    </w:p>
    <w:p w14:paraId="49E3DB7A" w14:textId="77777777" w:rsidR="00A77B3E" w:rsidRDefault="00A77B3E">
      <w:pPr>
        <w:spacing w:after="240"/>
        <w:rPr>
          <w:rFonts w:ascii="Calibri" w:eastAsia="Calibri" w:hAnsi="Calibri" w:cs="Calibri"/>
          <w:color w:val="000000"/>
          <w:sz w:val="22"/>
        </w:rPr>
      </w:pPr>
    </w:p>
    <w:p w14:paraId="4567B235"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2) List the workgroup/panel members' names and organizations.</w:t>
      </w:r>
    </w:p>
    <w:p w14:paraId="362C81C2" w14:textId="77777777" w:rsidR="00A77B3E" w:rsidRDefault="00000000">
      <w:pPr>
        <w:spacing w:after="240"/>
        <w:rPr>
          <w:rFonts w:ascii="Calibri" w:eastAsia="Calibri" w:hAnsi="Calibri" w:cs="Calibri"/>
          <w:color w:val="000000"/>
          <w:sz w:val="22"/>
        </w:rPr>
      </w:pPr>
      <w:r>
        <w:rPr>
          <w:rFonts w:ascii="Calibri" w:eastAsia="Calibri" w:hAnsi="Calibri" w:cs="Calibri"/>
          <w:i/>
          <w:color w:val="000000"/>
          <w:sz w:val="22"/>
        </w:rPr>
        <w:t>Describe the members' role in measure development.</w:t>
      </w:r>
    </w:p>
    <w:p w14:paraId="647AB58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David Axelrod, MD, MBA</w:t>
      </w:r>
    </w:p>
    <w:p w14:paraId="52931C3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Transplant Surgeon, University of Iowa</w:t>
      </w:r>
    </w:p>
    <w:p w14:paraId="70AF375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Amy Waterman, PhD</w:t>
      </w:r>
    </w:p>
    <w:p w14:paraId="0CEABCA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Professor of Medicine, Nephrology, UCLA Nephrology</w:t>
      </w:r>
    </w:p>
    <w:p w14:paraId="2454276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Bobby Howard</w:t>
      </w:r>
    </w:p>
    <w:p w14:paraId="4B78D1B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Patient, Director, Multicultural Donation Education Program</w:t>
      </w:r>
    </w:p>
    <w:p w14:paraId="75115860" w14:textId="77777777" w:rsidR="00A77B3E" w:rsidRDefault="00000000">
      <w:pPr>
        <w:spacing w:after="240"/>
        <w:rPr>
          <w:rFonts w:ascii="Calibri" w:eastAsia="Calibri" w:hAnsi="Calibri" w:cs="Calibri"/>
          <w:color w:val="000000"/>
          <w:sz w:val="22"/>
        </w:rPr>
      </w:pPr>
      <w:proofErr w:type="spellStart"/>
      <w:r>
        <w:rPr>
          <w:rFonts w:ascii="Calibri" w:eastAsia="Calibri" w:hAnsi="Calibri" w:cs="Calibri"/>
          <w:color w:val="000000"/>
          <w:sz w:val="22"/>
        </w:rPr>
        <w:t>LifeLink</w:t>
      </w:r>
      <w:proofErr w:type="spellEnd"/>
      <w:r>
        <w:rPr>
          <w:rFonts w:ascii="Calibri" w:eastAsia="Calibri" w:hAnsi="Calibri" w:cs="Calibri"/>
          <w:color w:val="000000"/>
          <w:sz w:val="22"/>
        </w:rPr>
        <w:t xml:space="preserve"> of Georgia</w:t>
      </w:r>
    </w:p>
    <w:p w14:paraId="35785C5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Association of Organ Procurement</w:t>
      </w:r>
    </w:p>
    <w:p w14:paraId="657BBDB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Jesse Schold, </w:t>
      </w:r>
      <w:proofErr w:type="spellStart"/>
      <w:r>
        <w:rPr>
          <w:rFonts w:ascii="Calibri" w:eastAsia="Calibri" w:hAnsi="Calibri" w:cs="Calibri"/>
          <w:color w:val="000000"/>
          <w:sz w:val="22"/>
        </w:rPr>
        <w:t>Mstat</w:t>
      </w:r>
      <w:proofErr w:type="spellEnd"/>
      <w:r>
        <w:rPr>
          <w:rFonts w:ascii="Calibri" w:eastAsia="Calibri" w:hAnsi="Calibri" w:cs="Calibri"/>
          <w:color w:val="000000"/>
          <w:sz w:val="22"/>
        </w:rPr>
        <w:t>, PhD</w:t>
      </w:r>
    </w:p>
    <w:p w14:paraId="572ADBB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Research Director, Cleveland Clinic</w:t>
      </w:r>
    </w:p>
    <w:p w14:paraId="223BF67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Emily Watson, MSW, LCSW</w:t>
      </w:r>
    </w:p>
    <w:p w14:paraId="716A034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Social Worker, Satellite Healthcare, LLC</w:t>
      </w:r>
    </w:p>
    <w:p w14:paraId="0B0D67EF"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Krista Lentine, MD, PhD Professor of Medicine</w:t>
      </w:r>
    </w:p>
    <w:p w14:paraId="1C58EFE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American Society of Nephrology Policy &amp; Advocacy Committee</w:t>
      </w:r>
    </w:p>
    <w:p w14:paraId="1AF82D9D"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Saint Louis University ASN Alliance for Kidney Health</w:t>
      </w:r>
    </w:p>
    <w:p w14:paraId="3DFA987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Bryan N. Becker, MD, MMM,</w:t>
      </w:r>
    </w:p>
    <w:p w14:paraId="51B791B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Physician, DaVita, Inc.</w:t>
      </w:r>
    </w:p>
    <w:p w14:paraId="0A5E628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John T. Ducker, MD, Transplant Nephrologist</w:t>
      </w:r>
    </w:p>
    <w:p w14:paraId="61F6228A"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Nephrology Associates of Northern Illinois and Indiana</w:t>
      </w:r>
    </w:p>
    <w:p w14:paraId="3A97F80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Renal Physicians Association</w:t>
      </w:r>
    </w:p>
    <w:p w14:paraId="7311F91B"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Teri Browne, PhD, MSW</w:t>
      </w:r>
    </w:p>
    <w:p w14:paraId="138E6A3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Associate Dean and Professor</w:t>
      </w:r>
    </w:p>
    <w:p w14:paraId="598E492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University of South Carolina College of Social Work</w:t>
      </w:r>
    </w:p>
    <w:p w14:paraId="42993057"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Rachel Patzer, PhD, MPH,</w:t>
      </w:r>
    </w:p>
    <w:p w14:paraId="09E044E9"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Director, Health Services Research Center</w:t>
      </w:r>
    </w:p>
    <w:p w14:paraId="7BC0672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Emory University School of Medicine</w:t>
      </w:r>
    </w:p>
    <w:p w14:paraId="1F42FC98"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Della Major, MA</w:t>
      </w:r>
    </w:p>
    <w:p w14:paraId="67E1259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Patient, National Forum of ESRD Networks, member of the Kidney Patient Advisory Council</w:t>
      </w:r>
    </w:p>
    <w:p w14:paraId="436AF70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Sumit Mohan, MD, MPH</w:t>
      </w:r>
    </w:p>
    <w:p w14:paraId="7994A39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Physician and Epidemiologist, Columbia University</w:t>
      </w:r>
    </w:p>
    <w:p w14:paraId="5654809E"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American Society of Nephrology Alliance for Kidney Health</w:t>
      </w:r>
    </w:p>
    <w:p w14:paraId="02D7000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Dawn P. Edwards</w:t>
      </w:r>
    </w:p>
    <w:p w14:paraId="0D298D4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Patient, National Forum of ESRD Networks Kidney Patient Advisory Council</w:t>
      </w:r>
    </w:p>
    <w:p w14:paraId="0E1C8F45"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 xml:space="preserve">Geraldine </w:t>
      </w:r>
      <w:proofErr w:type="spellStart"/>
      <w:r>
        <w:rPr>
          <w:rFonts w:ascii="Calibri" w:eastAsia="Calibri" w:hAnsi="Calibri" w:cs="Calibri"/>
          <w:color w:val="000000"/>
          <w:sz w:val="22"/>
        </w:rPr>
        <w:t>Zingraf</w:t>
      </w:r>
      <w:proofErr w:type="spellEnd"/>
      <w:r>
        <w:rPr>
          <w:rFonts w:ascii="Calibri" w:eastAsia="Calibri" w:hAnsi="Calibri" w:cs="Calibri"/>
          <w:color w:val="000000"/>
          <w:sz w:val="22"/>
        </w:rPr>
        <w:t>, DNP, MBA, RN, CNN, CCTC</w:t>
      </w:r>
    </w:p>
    <w:p w14:paraId="78B10B51"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Transplant Administrator, Edward Hines, Jr. VA Hospital</w:t>
      </w:r>
    </w:p>
    <w:p w14:paraId="3B0C1B66"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Sasha Couch</w:t>
      </w:r>
    </w:p>
    <w:p w14:paraId="5A83E8C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Patient, Renal Support Network</w:t>
      </w:r>
    </w:p>
    <w:p w14:paraId="1184FFA5" w14:textId="77777777" w:rsidR="00A77B3E" w:rsidRDefault="00A77B3E">
      <w:pPr>
        <w:spacing w:after="240"/>
        <w:rPr>
          <w:rFonts w:ascii="Calibri" w:eastAsia="Calibri" w:hAnsi="Calibri" w:cs="Calibri"/>
          <w:color w:val="000000"/>
          <w:sz w:val="22"/>
        </w:rPr>
      </w:pPr>
    </w:p>
    <w:p w14:paraId="36501404" w14:textId="77777777" w:rsidR="00A77B3E" w:rsidRDefault="00A77B3E">
      <w:pPr>
        <w:spacing w:after="240"/>
        <w:rPr>
          <w:rFonts w:ascii="Calibri" w:eastAsia="Calibri" w:hAnsi="Calibri" w:cs="Calibri"/>
          <w:color w:val="000000"/>
          <w:sz w:val="22"/>
        </w:rPr>
      </w:pPr>
    </w:p>
    <w:p w14:paraId="391CA456"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3) Indicate the year the measure was first released.</w:t>
      </w:r>
    </w:p>
    <w:p w14:paraId="1AD94AA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lastRenderedPageBreak/>
        <w:t>2022</w:t>
      </w:r>
    </w:p>
    <w:p w14:paraId="1D112F6D" w14:textId="77777777" w:rsidR="00A77B3E" w:rsidRDefault="00A77B3E">
      <w:pPr>
        <w:spacing w:after="240"/>
        <w:rPr>
          <w:rFonts w:ascii="Calibri" w:eastAsia="Calibri" w:hAnsi="Calibri" w:cs="Calibri"/>
          <w:color w:val="000000"/>
          <w:sz w:val="22"/>
        </w:rPr>
      </w:pPr>
    </w:p>
    <w:p w14:paraId="375524C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4) Indicate the month and year of the most recent revision.</w:t>
      </w:r>
    </w:p>
    <w:p w14:paraId="58704792"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9/2022</w:t>
      </w:r>
    </w:p>
    <w:p w14:paraId="66769A1B" w14:textId="77777777" w:rsidR="00A77B3E" w:rsidRDefault="00A77B3E">
      <w:pPr>
        <w:spacing w:after="240"/>
        <w:rPr>
          <w:rFonts w:ascii="Calibri" w:eastAsia="Calibri" w:hAnsi="Calibri" w:cs="Calibri"/>
          <w:color w:val="000000"/>
          <w:sz w:val="22"/>
        </w:rPr>
      </w:pPr>
    </w:p>
    <w:p w14:paraId="6F02F77D"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5) Indicate the frequency of review, or an update schedule, for this measure.</w:t>
      </w:r>
    </w:p>
    <w:p w14:paraId="5FDD760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Annual</w:t>
      </w:r>
    </w:p>
    <w:p w14:paraId="4E0537D1" w14:textId="77777777" w:rsidR="00A77B3E" w:rsidRDefault="00A77B3E">
      <w:pPr>
        <w:spacing w:after="240"/>
        <w:rPr>
          <w:rFonts w:ascii="Calibri" w:eastAsia="Calibri" w:hAnsi="Calibri" w:cs="Calibri"/>
          <w:color w:val="000000"/>
          <w:sz w:val="22"/>
        </w:rPr>
      </w:pPr>
    </w:p>
    <w:p w14:paraId="393B27E4"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6) Indicate the next scheduled update or review of this measure.</w:t>
      </w:r>
    </w:p>
    <w:p w14:paraId="2D761CF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2740E520" w14:textId="77777777" w:rsidR="00A77B3E" w:rsidRDefault="00A77B3E">
      <w:pPr>
        <w:spacing w:after="240"/>
        <w:rPr>
          <w:rFonts w:ascii="Calibri" w:eastAsia="Calibri" w:hAnsi="Calibri" w:cs="Calibri"/>
          <w:color w:val="000000"/>
          <w:sz w:val="22"/>
        </w:rPr>
      </w:pPr>
    </w:p>
    <w:p w14:paraId="7FA2D077"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7) Provide a copyright statement, if applicable. Otherwise, indicate “N/A”.</w:t>
      </w:r>
    </w:p>
    <w:p w14:paraId="24246F40"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24CCB435" w14:textId="77777777" w:rsidR="00A77B3E" w:rsidRDefault="00A77B3E">
      <w:pPr>
        <w:spacing w:after="240"/>
        <w:rPr>
          <w:rFonts w:ascii="Calibri" w:eastAsia="Calibri" w:hAnsi="Calibri" w:cs="Calibri"/>
          <w:color w:val="000000"/>
          <w:sz w:val="22"/>
        </w:rPr>
      </w:pPr>
    </w:p>
    <w:p w14:paraId="5C2A1371"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8) State any disclaimers, if applicable. Otherwise, indicate “N/A”.</w:t>
      </w:r>
    </w:p>
    <w:p w14:paraId="5538CD1C"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7F219D0F" w14:textId="77777777" w:rsidR="00A77B3E" w:rsidRDefault="00A77B3E">
      <w:pPr>
        <w:spacing w:after="240"/>
        <w:rPr>
          <w:rFonts w:ascii="Calibri" w:eastAsia="Calibri" w:hAnsi="Calibri" w:cs="Calibri"/>
          <w:color w:val="000000"/>
          <w:sz w:val="22"/>
        </w:rPr>
      </w:pPr>
    </w:p>
    <w:p w14:paraId="47934C3F" w14:textId="77777777" w:rsidR="00A77B3E" w:rsidRDefault="00000000">
      <w:pPr>
        <w:spacing w:after="240"/>
        <w:rPr>
          <w:rFonts w:ascii="Calibri" w:eastAsia="Calibri" w:hAnsi="Calibri" w:cs="Calibri"/>
          <w:b/>
          <w:color w:val="000000"/>
          <w:sz w:val="22"/>
        </w:rPr>
      </w:pPr>
      <w:r>
        <w:rPr>
          <w:rFonts w:ascii="Calibri" w:eastAsia="Calibri" w:hAnsi="Calibri" w:cs="Calibri"/>
          <w:b/>
          <w:color w:val="000000"/>
          <w:sz w:val="22"/>
        </w:rPr>
        <w:t>9) Provide any additional information or comments, if applicable. Otherwise, indicate “N/A”.</w:t>
      </w:r>
    </w:p>
    <w:p w14:paraId="78E0FA34"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t>N/A</w:t>
      </w:r>
    </w:p>
    <w:p w14:paraId="69EB9D9D" w14:textId="77777777" w:rsidR="00A77B3E" w:rsidRDefault="00A77B3E">
      <w:pPr>
        <w:spacing w:after="240"/>
        <w:rPr>
          <w:rFonts w:ascii="Calibri" w:eastAsia="Calibri" w:hAnsi="Calibri" w:cs="Calibri"/>
          <w:color w:val="000000"/>
          <w:sz w:val="22"/>
        </w:rPr>
      </w:pPr>
    </w:p>
    <w:p w14:paraId="0F0A92A3" w14:textId="77777777" w:rsidR="00A77B3E" w:rsidRDefault="00000000">
      <w:pPr>
        <w:spacing w:after="240"/>
        <w:rPr>
          <w:rFonts w:ascii="Calibri" w:eastAsia="Calibri" w:hAnsi="Calibri" w:cs="Calibri"/>
          <w:color w:val="000000"/>
          <w:sz w:val="22"/>
        </w:rPr>
      </w:pPr>
      <w:r>
        <w:rPr>
          <w:rFonts w:ascii="Calibri" w:eastAsia="Calibri" w:hAnsi="Calibri" w:cs="Calibri"/>
          <w:color w:val="000000"/>
          <w:sz w:val="22"/>
        </w:rPr>
        <w:br w:type="page"/>
      </w:r>
    </w:p>
    <w:sectPr w:rsidR="00A77B3E">
      <w:headerReference w:type="default" r:id="rId34"/>
      <w:footerReference w:type="default" r:id="rId35"/>
      <w:pgSz w:w="12240" w:h="15840"/>
      <w:pgMar w:top="1440" w:right="1440" w:bottom="1440" w:left="1440" w:header="480" w:footer="6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02E4D" w14:textId="77777777" w:rsidR="00732CA8" w:rsidRDefault="00732CA8">
      <w:r>
        <w:separator/>
      </w:r>
    </w:p>
  </w:endnote>
  <w:endnote w:type="continuationSeparator" w:id="0">
    <w:p w14:paraId="4B95A254" w14:textId="77777777" w:rsidR="00732CA8" w:rsidRDefault="00732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1FEB0" w14:textId="77777777" w:rsidR="00233F1E" w:rsidRDefault="00000000">
    <w:pPr>
      <w:spacing w:before="180"/>
      <w:rPr>
        <w:rFonts w:ascii="Arial" w:eastAsia="Arial" w:hAnsi="Arial" w:cs="Arial"/>
        <w:b/>
        <w:color w:val="326295"/>
        <w:sz w:val="18"/>
      </w:rPr>
    </w:pPr>
    <w:r>
      <w:rPr>
        <w:rFonts w:ascii="Arial" w:eastAsia="Arial" w:hAnsi="Arial" w:cs="Arial"/>
        <w:b/>
        <w:color w:val="326295"/>
        <w:sz w:val="18"/>
      </w:rPr>
      <w:t>NATIONAL QUALITY FORUM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3438C" w14:textId="77777777" w:rsidR="00732CA8" w:rsidRDefault="00732CA8">
      <w:r>
        <w:separator/>
      </w:r>
    </w:p>
  </w:footnote>
  <w:footnote w:type="continuationSeparator" w:id="0">
    <w:p w14:paraId="73A9850C" w14:textId="77777777" w:rsidR="00732CA8" w:rsidRDefault="00732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877AF" w14:textId="77777777" w:rsidR="00233F1E" w:rsidRDefault="00000000">
    <w:pPr>
      <w:spacing w:after="360"/>
      <w:rPr>
        <w:rFonts w:ascii="Arial" w:eastAsia="Arial" w:hAnsi="Arial" w:cs="Arial"/>
        <w:b/>
        <w:color w:val="326295"/>
        <w:sz w:val="20"/>
      </w:rPr>
    </w:pPr>
    <w:r>
      <w:rPr>
        <w:rFonts w:ascii="Arial" w:eastAsia="Arial" w:hAnsi="Arial" w:cs="Arial"/>
        <w:b/>
        <w:color w:val="326295"/>
        <w:sz w:val="20"/>
      </w:rPr>
      <w:t xml:space="preserve">PAGE </w:t>
    </w:r>
    <w:r>
      <w:rPr>
        <w:rFonts w:ascii="Arial" w:eastAsia="Arial" w:hAnsi="Arial" w:cs="Arial"/>
        <w:b/>
        <w:color w:val="326295"/>
        <w:sz w:val="20"/>
      </w:rPr>
      <w:fldChar w:fldCharType="begin"/>
    </w:r>
    <w:r>
      <w:rPr>
        <w:rFonts w:ascii="Arial" w:eastAsia="Arial" w:hAnsi="Arial" w:cs="Arial"/>
        <w:b/>
        <w:color w:val="326295"/>
        <w:sz w:val="20"/>
      </w:rPr>
      <w:instrText>PAGE</w:instrText>
    </w:r>
    <w:r>
      <w:rPr>
        <w:rFonts w:ascii="Arial" w:eastAsia="Arial" w:hAnsi="Arial" w:cs="Arial"/>
        <w:b/>
        <w:color w:val="326295"/>
        <w:sz w:val="20"/>
      </w:rPr>
      <w:fldChar w:fldCharType="separate"/>
    </w:r>
    <w:r w:rsidR="00990215">
      <w:rPr>
        <w:rFonts w:ascii="Arial" w:eastAsia="Arial" w:hAnsi="Arial" w:cs="Arial"/>
        <w:b/>
        <w:noProof/>
        <w:color w:val="326295"/>
        <w:sz w:val="20"/>
      </w:rPr>
      <w:t>2</w:t>
    </w:r>
    <w:r>
      <w:rPr>
        <w:rFonts w:ascii="Arial" w:eastAsia="Arial" w:hAnsi="Arial" w:cs="Arial"/>
        <w:b/>
        <w:color w:val="326295"/>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B060F2E4">
      <w:start w:val="1"/>
      <w:numFmt w:val="bullet"/>
      <w:lvlText w:val=""/>
      <w:lvlJc w:val="left"/>
      <w:pPr>
        <w:ind w:left="720" w:hanging="360"/>
      </w:pPr>
      <w:rPr>
        <w:rFonts w:ascii="Symbol" w:hAnsi="Symbol"/>
      </w:rPr>
    </w:lvl>
    <w:lvl w:ilvl="1" w:tplc="D7D80AA2">
      <w:start w:val="1"/>
      <w:numFmt w:val="bullet"/>
      <w:lvlText w:val="o"/>
      <w:lvlJc w:val="left"/>
      <w:pPr>
        <w:tabs>
          <w:tab w:val="num" w:pos="1440"/>
        </w:tabs>
        <w:ind w:left="1440" w:hanging="360"/>
      </w:pPr>
      <w:rPr>
        <w:rFonts w:ascii="Courier New" w:hAnsi="Courier New"/>
      </w:rPr>
    </w:lvl>
    <w:lvl w:ilvl="2" w:tplc="51B89758">
      <w:start w:val="1"/>
      <w:numFmt w:val="bullet"/>
      <w:lvlText w:val=""/>
      <w:lvlJc w:val="left"/>
      <w:pPr>
        <w:tabs>
          <w:tab w:val="num" w:pos="2160"/>
        </w:tabs>
        <w:ind w:left="2160" w:hanging="360"/>
      </w:pPr>
      <w:rPr>
        <w:rFonts w:ascii="Wingdings" w:hAnsi="Wingdings"/>
      </w:rPr>
    </w:lvl>
    <w:lvl w:ilvl="3" w:tplc="ACCA5D98">
      <w:start w:val="1"/>
      <w:numFmt w:val="bullet"/>
      <w:lvlText w:val=""/>
      <w:lvlJc w:val="left"/>
      <w:pPr>
        <w:tabs>
          <w:tab w:val="num" w:pos="2880"/>
        </w:tabs>
        <w:ind w:left="2880" w:hanging="360"/>
      </w:pPr>
      <w:rPr>
        <w:rFonts w:ascii="Symbol" w:hAnsi="Symbol"/>
      </w:rPr>
    </w:lvl>
    <w:lvl w:ilvl="4" w:tplc="EFECF064">
      <w:start w:val="1"/>
      <w:numFmt w:val="bullet"/>
      <w:lvlText w:val="o"/>
      <w:lvlJc w:val="left"/>
      <w:pPr>
        <w:tabs>
          <w:tab w:val="num" w:pos="3600"/>
        </w:tabs>
        <w:ind w:left="3600" w:hanging="360"/>
      </w:pPr>
      <w:rPr>
        <w:rFonts w:ascii="Courier New" w:hAnsi="Courier New"/>
      </w:rPr>
    </w:lvl>
    <w:lvl w:ilvl="5" w:tplc="DCAAE010">
      <w:start w:val="1"/>
      <w:numFmt w:val="bullet"/>
      <w:lvlText w:val=""/>
      <w:lvlJc w:val="left"/>
      <w:pPr>
        <w:tabs>
          <w:tab w:val="num" w:pos="4320"/>
        </w:tabs>
        <w:ind w:left="4320" w:hanging="360"/>
      </w:pPr>
      <w:rPr>
        <w:rFonts w:ascii="Wingdings" w:hAnsi="Wingdings"/>
      </w:rPr>
    </w:lvl>
    <w:lvl w:ilvl="6" w:tplc="7AF6A410">
      <w:start w:val="1"/>
      <w:numFmt w:val="bullet"/>
      <w:lvlText w:val=""/>
      <w:lvlJc w:val="left"/>
      <w:pPr>
        <w:tabs>
          <w:tab w:val="num" w:pos="5040"/>
        </w:tabs>
        <w:ind w:left="5040" w:hanging="360"/>
      </w:pPr>
      <w:rPr>
        <w:rFonts w:ascii="Symbol" w:hAnsi="Symbol"/>
      </w:rPr>
    </w:lvl>
    <w:lvl w:ilvl="7" w:tplc="A84AB360">
      <w:start w:val="1"/>
      <w:numFmt w:val="bullet"/>
      <w:lvlText w:val="o"/>
      <w:lvlJc w:val="left"/>
      <w:pPr>
        <w:tabs>
          <w:tab w:val="num" w:pos="5760"/>
        </w:tabs>
        <w:ind w:left="5760" w:hanging="360"/>
      </w:pPr>
      <w:rPr>
        <w:rFonts w:ascii="Courier New" w:hAnsi="Courier New"/>
      </w:rPr>
    </w:lvl>
    <w:lvl w:ilvl="8" w:tplc="EB0CBD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A3545B5E">
      <w:start w:val="1"/>
      <w:numFmt w:val="bullet"/>
      <w:lvlText w:val=""/>
      <w:lvlJc w:val="left"/>
      <w:pPr>
        <w:ind w:left="720" w:hanging="360"/>
      </w:pPr>
      <w:rPr>
        <w:rFonts w:ascii="Symbol" w:hAnsi="Symbol"/>
      </w:rPr>
    </w:lvl>
    <w:lvl w:ilvl="1" w:tplc="AFB2AC22">
      <w:start w:val="1"/>
      <w:numFmt w:val="bullet"/>
      <w:lvlText w:val="o"/>
      <w:lvlJc w:val="left"/>
      <w:pPr>
        <w:tabs>
          <w:tab w:val="num" w:pos="1440"/>
        </w:tabs>
        <w:ind w:left="1440" w:hanging="360"/>
      </w:pPr>
      <w:rPr>
        <w:rFonts w:ascii="Courier New" w:hAnsi="Courier New"/>
      </w:rPr>
    </w:lvl>
    <w:lvl w:ilvl="2" w:tplc="45B0E1A8">
      <w:start w:val="1"/>
      <w:numFmt w:val="bullet"/>
      <w:lvlText w:val=""/>
      <w:lvlJc w:val="left"/>
      <w:pPr>
        <w:tabs>
          <w:tab w:val="num" w:pos="2160"/>
        </w:tabs>
        <w:ind w:left="2160" w:hanging="360"/>
      </w:pPr>
      <w:rPr>
        <w:rFonts w:ascii="Wingdings" w:hAnsi="Wingdings"/>
      </w:rPr>
    </w:lvl>
    <w:lvl w:ilvl="3" w:tplc="A216C926">
      <w:start w:val="1"/>
      <w:numFmt w:val="bullet"/>
      <w:lvlText w:val=""/>
      <w:lvlJc w:val="left"/>
      <w:pPr>
        <w:tabs>
          <w:tab w:val="num" w:pos="2880"/>
        </w:tabs>
        <w:ind w:left="2880" w:hanging="360"/>
      </w:pPr>
      <w:rPr>
        <w:rFonts w:ascii="Symbol" w:hAnsi="Symbol"/>
      </w:rPr>
    </w:lvl>
    <w:lvl w:ilvl="4" w:tplc="3614EA3C">
      <w:start w:val="1"/>
      <w:numFmt w:val="bullet"/>
      <w:lvlText w:val="o"/>
      <w:lvlJc w:val="left"/>
      <w:pPr>
        <w:tabs>
          <w:tab w:val="num" w:pos="3600"/>
        </w:tabs>
        <w:ind w:left="3600" w:hanging="360"/>
      </w:pPr>
      <w:rPr>
        <w:rFonts w:ascii="Courier New" w:hAnsi="Courier New"/>
      </w:rPr>
    </w:lvl>
    <w:lvl w:ilvl="5" w:tplc="ACE68586">
      <w:start w:val="1"/>
      <w:numFmt w:val="bullet"/>
      <w:lvlText w:val=""/>
      <w:lvlJc w:val="left"/>
      <w:pPr>
        <w:tabs>
          <w:tab w:val="num" w:pos="4320"/>
        </w:tabs>
        <w:ind w:left="4320" w:hanging="360"/>
      </w:pPr>
      <w:rPr>
        <w:rFonts w:ascii="Wingdings" w:hAnsi="Wingdings"/>
      </w:rPr>
    </w:lvl>
    <w:lvl w:ilvl="6" w:tplc="ED22F1D4">
      <w:start w:val="1"/>
      <w:numFmt w:val="bullet"/>
      <w:lvlText w:val=""/>
      <w:lvlJc w:val="left"/>
      <w:pPr>
        <w:tabs>
          <w:tab w:val="num" w:pos="5040"/>
        </w:tabs>
        <w:ind w:left="5040" w:hanging="360"/>
      </w:pPr>
      <w:rPr>
        <w:rFonts w:ascii="Symbol" w:hAnsi="Symbol"/>
      </w:rPr>
    </w:lvl>
    <w:lvl w:ilvl="7" w:tplc="EE9684E0">
      <w:start w:val="1"/>
      <w:numFmt w:val="bullet"/>
      <w:lvlText w:val="o"/>
      <w:lvlJc w:val="left"/>
      <w:pPr>
        <w:tabs>
          <w:tab w:val="num" w:pos="5760"/>
        </w:tabs>
        <w:ind w:left="5760" w:hanging="360"/>
      </w:pPr>
      <w:rPr>
        <w:rFonts w:ascii="Courier New" w:hAnsi="Courier New"/>
      </w:rPr>
    </w:lvl>
    <w:lvl w:ilvl="8" w:tplc="E88E154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B25AAC7E">
      <w:start w:val="1"/>
      <w:numFmt w:val="bullet"/>
      <w:lvlText w:val=""/>
      <w:lvlJc w:val="left"/>
      <w:pPr>
        <w:ind w:left="720" w:hanging="360"/>
      </w:pPr>
      <w:rPr>
        <w:rFonts w:ascii="Symbol" w:hAnsi="Symbol"/>
      </w:rPr>
    </w:lvl>
    <w:lvl w:ilvl="1" w:tplc="01FEAD88">
      <w:start w:val="1"/>
      <w:numFmt w:val="bullet"/>
      <w:lvlText w:val="o"/>
      <w:lvlJc w:val="left"/>
      <w:pPr>
        <w:tabs>
          <w:tab w:val="num" w:pos="1440"/>
        </w:tabs>
        <w:ind w:left="1440" w:hanging="360"/>
      </w:pPr>
      <w:rPr>
        <w:rFonts w:ascii="Courier New" w:hAnsi="Courier New"/>
      </w:rPr>
    </w:lvl>
    <w:lvl w:ilvl="2" w:tplc="E21246DC">
      <w:start w:val="1"/>
      <w:numFmt w:val="bullet"/>
      <w:lvlText w:val=""/>
      <w:lvlJc w:val="left"/>
      <w:pPr>
        <w:tabs>
          <w:tab w:val="num" w:pos="2160"/>
        </w:tabs>
        <w:ind w:left="2160" w:hanging="360"/>
      </w:pPr>
      <w:rPr>
        <w:rFonts w:ascii="Wingdings" w:hAnsi="Wingdings"/>
      </w:rPr>
    </w:lvl>
    <w:lvl w:ilvl="3" w:tplc="D9C856D2">
      <w:start w:val="1"/>
      <w:numFmt w:val="bullet"/>
      <w:lvlText w:val=""/>
      <w:lvlJc w:val="left"/>
      <w:pPr>
        <w:tabs>
          <w:tab w:val="num" w:pos="2880"/>
        </w:tabs>
        <w:ind w:left="2880" w:hanging="360"/>
      </w:pPr>
      <w:rPr>
        <w:rFonts w:ascii="Symbol" w:hAnsi="Symbol"/>
      </w:rPr>
    </w:lvl>
    <w:lvl w:ilvl="4" w:tplc="12DA8568">
      <w:start w:val="1"/>
      <w:numFmt w:val="bullet"/>
      <w:lvlText w:val="o"/>
      <w:lvlJc w:val="left"/>
      <w:pPr>
        <w:tabs>
          <w:tab w:val="num" w:pos="3600"/>
        </w:tabs>
        <w:ind w:left="3600" w:hanging="360"/>
      </w:pPr>
      <w:rPr>
        <w:rFonts w:ascii="Courier New" w:hAnsi="Courier New"/>
      </w:rPr>
    </w:lvl>
    <w:lvl w:ilvl="5" w:tplc="8C285A26">
      <w:start w:val="1"/>
      <w:numFmt w:val="bullet"/>
      <w:lvlText w:val=""/>
      <w:lvlJc w:val="left"/>
      <w:pPr>
        <w:tabs>
          <w:tab w:val="num" w:pos="4320"/>
        </w:tabs>
        <w:ind w:left="4320" w:hanging="360"/>
      </w:pPr>
      <w:rPr>
        <w:rFonts w:ascii="Wingdings" w:hAnsi="Wingdings"/>
      </w:rPr>
    </w:lvl>
    <w:lvl w:ilvl="6" w:tplc="DBB42942">
      <w:start w:val="1"/>
      <w:numFmt w:val="bullet"/>
      <w:lvlText w:val=""/>
      <w:lvlJc w:val="left"/>
      <w:pPr>
        <w:tabs>
          <w:tab w:val="num" w:pos="5040"/>
        </w:tabs>
        <w:ind w:left="5040" w:hanging="360"/>
      </w:pPr>
      <w:rPr>
        <w:rFonts w:ascii="Symbol" w:hAnsi="Symbol"/>
      </w:rPr>
    </w:lvl>
    <w:lvl w:ilvl="7" w:tplc="427A8D26">
      <w:start w:val="1"/>
      <w:numFmt w:val="bullet"/>
      <w:lvlText w:val="o"/>
      <w:lvlJc w:val="left"/>
      <w:pPr>
        <w:tabs>
          <w:tab w:val="num" w:pos="5760"/>
        </w:tabs>
        <w:ind w:left="5760" w:hanging="360"/>
      </w:pPr>
      <w:rPr>
        <w:rFonts w:ascii="Courier New" w:hAnsi="Courier New"/>
      </w:rPr>
    </w:lvl>
    <w:lvl w:ilvl="8" w:tplc="92D20D86">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BD40DDB4">
      <w:start w:val="1"/>
      <w:numFmt w:val="bullet"/>
      <w:lvlText w:val=""/>
      <w:lvlJc w:val="left"/>
      <w:pPr>
        <w:ind w:left="720" w:hanging="360"/>
      </w:pPr>
      <w:rPr>
        <w:rFonts w:ascii="Symbol" w:hAnsi="Symbol"/>
      </w:rPr>
    </w:lvl>
    <w:lvl w:ilvl="1" w:tplc="EF5095D6">
      <w:start w:val="1"/>
      <w:numFmt w:val="bullet"/>
      <w:lvlText w:val="o"/>
      <w:lvlJc w:val="left"/>
      <w:pPr>
        <w:tabs>
          <w:tab w:val="num" w:pos="1440"/>
        </w:tabs>
        <w:ind w:left="1440" w:hanging="360"/>
      </w:pPr>
      <w:rPr>
        <w:rFonts w:ascii="Courier New" w:hAnsi="Courier New"/>
      </w:rPr>
    </w:lvl>
    <w:lvl w:ilvl="2" w:tplc="B3208666">
      <w:start w:val="1"/>
      <w:numFmt w:val="bullet"/>
      <w:lvlText w:val=""/>
      <w:lvlJc w:val="left"/>
      <w:pPr>
        <w:tabs>
          <w:tab w:val="num" w:pos="2160"/>
        </w:tabs>
        <w:ind w:left="2160" w:hanging="360"/>
      </w:pPr>
      <w:rPr>
        <w:rFonts w:ascii="Wingdings" w:hAnsi="Wingdings"/>
      </w:rPr>
    </w:lvl>
    <w:lvl w:ilvl="3" w:tplc="8EC2260A">
      <w:start w:val="1"/>
      <w:numFmt w:val="bullet"/>
      <w:lvlText w:val=""/>
      <w:lvlJc w:val="left"/>
      <w:pPr>
        <w:tabs>
          <w:tab w:val="num" w:pos="2880"/>
        </w:tabs>
        <w:ind w:left="2880" w:hanging="360"/>
      </w:pPr>
      <w:rPr>
        <w:rFonts w:ascii="Symbol" w:hAnsi="Symbol"/>
      </w:rPr>
    </w:lvl>
    <w:lvl w:ilvl="4" w:tplc="DBA0388C">
      <w:start w:val="1"/>
      <w:numFmt w:val="bullet"/>
      <w:lvlText w:val="o"/>
      <w:lvlJc w:val="left"/>
      <w:pPr>
        <w:tabs>
          <w:tab w:val="num" w:pos="3600"/>
        </w:tabs>
        <w:ind w:left="3600" w:hanging="360"/>
      </w:pPr>
      <w:rPr>
        <w:rFonts w:ascii="Courier New" w:hAnsi="Courier New"/>
      </w:rPr>
    </w:lvl>
    <w:lvl w:ilvl="5" w:tplc="E3F820CA">
      <w:start w:val="1"/>
      <w:numFmt w:val="bullet"/>
      <w:lvlText w:val=""/>
      <w:lvlJc w:val="left"/>
      <w:pPr>
        <w:tabs>
          <w:tab w:val="num" w:pos="4320"/>
        </w:tabs>
        <w:ind w:left="4320" w:hanging="360"/>
      </w:pPr>
      <w:rPr>
        <w:rFonts w:ascii="Wingdings" w:hAnsi="Wingdings"/>
      </w:rPr>
    </w:lvl>
    <w:lvl w:ilvl="6" w:tplc="35682252">
      <w:start w:val="1"/>
      <w:numFmt w:val="bullet"/>
      <w:lvlText w:val=""/>
      <w:lvlJc w:val="left"/>
      <w:pPr>
        <w:tabs>
          <w:tab w:val="num" w:pos="5040"/>
        </w:tabs>
        <w:ind w:left="5040" w:hanging="360"/>
      </w:pPr>
      <w:rPr>
        <w:rFonts w:ascii="Symbol" w:hAnsi="Symbol"/>
      </w:rPr>
    </w:lvl>
    <w:lvl w:ilvl="7" w:tplc="EF38EA3E">
      <w:start w:val="1"/>
      <w:numFmt w:val="bullet"/>
      <w:lvlText w:val="o"/>
      <w:lvlJc w:val="left"/>
      <w:pPr>
        <w:tabs>
          <w:tab w:val="num" w:pos="5760"/>
        </w:tabs>
        <w:ind w:left="5760" w:hanging="360"/>
      </w:pPr>
      <w:rPr>
        <w:rFonts w:ascii="Courier New" w:hAnsi="Courier New"/>
      </w:rPr>
    </w:lvl>
    <w:lvl w:ilvl="8" w:tplc="FC76CCDC">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4C7A385A">
      <w:start w:val="1"/>
      <w:numFmt w:val="bullet"/>
      <w:lvlText w:val=""/>
      <w:lvlJc w:val="left"/>
      <w:pPr>
        <w:ind w:left="720" w:hanging="360"/>
      </w:pPr>
      <w:rPr>
        <w:rFonts w:ascii="Symbol" w:hAnsi="Symbol"/>
      </w:rPr>
    </w:lvl>
    <w:lvl w:ilvl="1" w:tplc="5FA00320">
      <w:start w:val="1"/>
      <w:numFmt w:val="bullet"/>
      <w:lvlText w:val="o"/>
      <w:lvlJc w:val="left"/>
      <w:pPr>
        <w:tabs>
          <w:tab w:val="num" w:pos="1440"/>
        </w:tabs>
        <w:ind w:left="1440" w:hanging="360"/>
      </w:pPr>
      <w:rPr>
        <w:rFonts w:ascii="Courier New" w:hAnsi="Courier New"/>
      </w:rPr>
    </w:lvl>
    <w:lvl w:ilvl="2" w:tplc="4F109C80">
      <w:start w:val="1"/>
      <w:numFmt w:val="bullet"/>
      <w:lvlText w:val=""/>
      <w:lvlJc w:val="left"/>
      <w:pPr>
        <w:tabs>
          <w:tab w:val="num" w:pos="2160"/>
        </w:tabs>
        <w:ind w:left="2160" w:hanging="360"/>
      </w:pPr>
      <w:rPr>
        <w:rFonts w:ascii="Wingdings" w:hAnsi="Wingdings"/>
      </w:rPr>
    </w:lvl>
    <w:lvl w:ilvl="3" w:tplc="62B082A2">
      <w:start w:val="1"/>
      <w:numFmt w:val="bullet"/>
      <w:lvlText w:val=""/>
      <w:lvlJc w:val="left"/>
      <w:pPr>
        <w:tabs>
          <w:tab w:val="num" w:pos="2880"/>
        </w:tabs>
        <w:ind w:left="2880" w:hanging="360"/>
      </w:pPr>
      <w:rPr>
        <w:rFonts w:ascii="Symbol" w:hAnsi="Symbol"/>
      </w:rPr>
    </w:lvl>
    <w:lvl w:ilvl="4" w:tplc="1982F062">
      <w:start w:val="1"/>
      <w:numFmt w:val="bullet"/>
      <w:lvlText w:val="o"/>
      <w:lvlJc w:val="left"/>
      <w:pPr>
        <w:tabs>
          <w:tab w:val="num" w:pos="3600"/>
        </w:tabs>
        <w:ind w:left="3600" w:hanging="360"/>
      </w:pPr>
      <w:rPr>
        <w:rFonts w:ascii="Courier New" w:hAnsi="Courier New"/>
      </w:rPr>
    </w:lvl>
    <w:lvl w:ilvl="5" w:tplc="9ADEA32C">
      <w:start w:val="1"/>
      <w:numFmt w:val="bullet"/>
      <w:lvlText w:val=""/>
      <w:lvlJc w:val="left"/>
      <w:pPr>
        <w:tabs>
          <w:tab w:val="num" w:pos="4320"/>
        </w:tabs>
        <w:ind w:left="4320" w:hanging="360"/>
      </w:pPr>
      <w:rPr>
        <w:rFonts w:ascii="Wingdings" w:hAnsi="Wingdings"/>
      </w:rPr>
    </w:lvl>
    <w:lvl w:ilvl="6" w:tplc="5588D9EA">
      <w:start w:val="1"/>
      <w:numFmt w:val="bullet"/>
      <w:lvlText w:val=""/>
      <w:lvlJc w:val="left"/>
      <w:pPr>
        <w:tabs>
          <w:tab w:val="num" w:pos="5040"/>
        </w:tabs>
        <w:ind w:left="5040" w:hanging="360"/>
      </w:pPr>
      <w:rPr>
        <w:rFonts w:ascii="Symbol" w:hAnsi="Symbol"/>
      </w:rPr>
    </w:lvl>
    <w:lvl w:ilvl="7" w:tplc="79EA9F4C">
      <w:start w:val="1"/>
      <w:numFmt w:val="bullet"/>
      <w:lvlText w:val="o"/>
      <w:lvlJc w:val="left"/>
      <w:pPr>
        <w:tabs>
          <w:tab w:val="num" w:pos="5760"/>
        </w:tabs>
        <w:ind w:left="5760" w:hanging="360"/>
      </w:pPr>
      <w:rPr>
        <w:rFonts w:ascii="Courier New" w:hAnsi="Courier New"/>
      </w:rPr>
    </w:lvl>
    <w:lvl w:ilvl="8" w:tplc="CE5AC7B0">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6828510A">
      <w:start w:val="1"/>
      <w:numFmt w:val="bullet"/>
      <w:lvlText w:val=""/>
      <w:lvlJc w:val="left"/>
      <w:pPr>
        <w:ind w:left="720" w:hanging="360"/>
      </w:pPr>
      <w:rPr>
        <w:rFonts w:ascii="Symbol" w:hAnsi="Symbol"/>
      </w:rPr>
    </w:lvl>
    <w:lvl w:ilvl="1" w:tplc="63AAD6B6">
      <w:start w:val="1"/>
      <w:numFmt w:val="bullet"/>
      <w:lvlText w:val="o"/>
      <w:lvlJc w:val="left"/>
      <w:pPr>
        <w:tabs>
          <w:tab w:val="num" w:pos="1440"/>
        </w:tabs>
        <w:ind w:left="1440" w:hanging="360"/>
      </w:pPr>
      <w:rPr>
        <w:rFonts w:ascii="Courier New" w:hAnsi="Courier New"/>
      </w:rPr>
    </w:lvl>
    <w:lvl w:ilvl="2" w:tplc="89F289A8">
      <w:start w:val="1"/>
      <w:numFmt w:val="bullet"/>
      <w:lvlText w:val=""/>
      <w:lvlJc w:val="left"/>
      <w:pPr>
        <w:tabs>
          <w:tab w:val="num" w:pos="2160"/>
        </w:tabs>
        <w:ind w:left="2160" w:hanging="360"/>
      </w:pPr>
      <w:rPr>
        <w:rFonts w:ascii="Wingdings" w:hAnsi="Wingdings"/>
      </w:rPr>
    </w:lvl>
    <w:lvl w:ilvl="3" w:tplc="807EE1F8">
      <w:start w:val="1"/>
      <w:numFmt w:val="bullet"/>
      <w:lvlText w:val=""/>
      <w:lvlJc w:val="left"/>
      <w:pPr>
        <w:tabs>
          <w:tab w:val="num" w:pos="2880"/>
        </w:tabs>
        <w:ind w:left="2880" w:hanging="360"/>
      </w:pPr>
      <w:rPr>
        <w:rFonts w:ascii="Symbol" w:hAnsi="Symbol"/>
      </w:rPr>
    </w:lvl>
    <w:lvl w:ilvl="4" w:tplc="6ED2D918">
      <w:start w:val="1"/>
      <w:numFmt w:val="bullet"/>
      <w:lvlText w:val="o"/>
      <w:lvlJc w:val="left"/>
      <w:pPr>
        <w:tabs>
          <w:tab w:val="num" w:pos="3600"/>
        </w:tabs>
        <w:ind w:left="3600" w:hanging="360"/>
      </w:pPr>
      <w:rPr>
        <w:rFonts w:ascii="Courier New" w:hAnsi="Courier New"/>
      </w:rPr>
    </w:lvl>
    <w:lvl w:ilvl="5" w:tplc="F872BB54">
      <w:start w:val="1"/>
      <w:numFmt w:val="bullet"/>
      <w:lvlText w:val=""/>
      <w:lvlJc w:val="left"/>
      <w:pPr>
        <w:tabs>
          <w:tab w:val="num" w:pos="4320"/>
        </w:tabs>
        <w:ind w:left="4320" w:hanging="360"/>
      </w:pPr>
      <w:rPr>
        <w:rFonts w:ascii="Wingdings" w:hAnsi="Wingdings"/>
      </w:rPr>
    </w:lvl>
    <w:lvl w:ilvl="6" w:tplc="1DF239C6">
      <w:start w:val="1"/>
      <w:numFmt w:val="bullet"/>
      <w:lvlText w:val=""/>
      <w:lvlJc w:val="left"/>
      <w:pPr>
        <w:tabs>
          <w:tab w:val="num" w:pos="5040"/>
        </w:tabs>
        <w:ind w:left="5040" w:hanging="360"/>
      </w:pPr>
      <w:rPr>
        <w:rFonts w:ascii="Symbol" w:hAnsi="Symbol"/>
      </w:rPr>
    </w:lvl>
    <w:lvl w:ilvl="7" w:tplc="E40C237E">
      <w:start w:val="1"/>
      <w:numFmt w:val="bullet"/>
      <w:lvlText w:val="o"/>
      <w:lvlJc w:val="left"/>
      <w:pPr>
        <w:tabs>
          <w:tab w:val="num" w:pos="5760"/>
        </w:tabs>
        <w:ind w:left="5760" w:hanging="360"/>
      </w:pPr>
      <w:rPr>
        <w:rFonts w:ascii="Courier New" w:hAnsi="Courier New"/>
      </w:rPr>
    </w:lvl>
    <w:lvl w:ilvl="8" w:tplc="09CE74A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0018DA70">
      <w:start w:val="1"/>
      <w:numFmt w:val="bullet"/>
      <w:lvlText w:val=""/>
      <w:lvlJc w:val="left"/>
      <w:pPr>
        <w:ind w:left="720" w:hanging="360"/>
      </w:pPr>
      <w:rPr>
        <w:rFonts w:ascii="Symbol" w:hAnsi="Symbol"/>
      </w:rPr>
    </w:lvl>
    <w:lvl w:ilvl="1" w:tplc="9294CC72">
      <w:start w:val="1"/>
      <w:numFmt w:val="bullet"/>
      <w:lvlText w:val="o"/>
      <w:lvlJc w:val="left"/>
      <w:pPr>
        <w:tabs>
          <w:tab w:val="num" w:pos="1440"/>
        </w:tabs>
        <w:ind w:left="1440" w:hanging="360"/>
      </w:pPr>
      <w:rPr>
        <w:rFonts w:ascii="Courier New" w:hAnsi="Courier New"/>
      </w:rPr>
    </w:lvl>
    <w:lvl w:ilvl="2" w:tplc="EE2ED87A">
      <w:start w:val="1"/>
      <w:numFmt w:val="bullet"/>
      <w:lvlText w:val=""/>
      <w:lvlJc w:val="left"/>
      <w:pPr>
        <w:tabs>
          <w:tab w:val="num" w:pos="2160"/>
        </w:tabs>
        <w:ind w:left="2160" w:hanging="360"/>
      </w:pPr>
      <w:rPr>
        <w:rFonts w:ascii="Wingdings" w:hAnsi="Wingdings"/>
      </w:rPr>
    </w:lvl>
    <w:lvl w:ilvl="3" w:tplc="3B0A4C34">
      <w:start w:val="1"/>
      <w:numFmt w:val="bullet"/>
      <w:lvlText w:val=""/>
      <w:lvlJc w:val="left"/>
      <w:pPr>
        <w:tabs>
          <w:tab w:val="num" w:pos="2880"/>
        </w:tabs>
        <w:ind w:left="2880" w:hanging="360"/>
      </w:pPr>
      <w:rPr>
        <w:rFonts w:ascii="Symbol" w:hAnsi="Symbol"/>
      </w:rPr>
    </w:lvl>
    <w:lvl w:ilvl="4" w:tplc="DB003760">
      <w:start w:val="1"/>
      <w:numFmt w:val="bullet"/>
      <w:lvlText w:val="o"/>
      <w:lvlJc w:val="left"/>
      <w:pPr>
        <w:tabs>
          <w:tab w:val="num" w:pos="3600"/>
        </w:tabs>
        <w:ind w:left="3600" w:hanging="360"/>
      </w:pPr>
      <w:rPr>
        <w:rFonts w:ascii="Courier New" w:hAnsi="Courier New"/>
      </w:rPr>
    </w:lvl>
    <w:lvl w:ilvl="5" w:tplc="B5E82BE0">
      <w:start w:val="1"/>
      <w:numFmt w:val="bullet"/>
      <w:lvlText w:val=""/>
      <w:lvlJc w:val="left"/>
      <w:pPr>
        <w:tabs>
          <w:tab w:val="num" w:pos="4320"/>
        </w:tabs>
        <w:ind w:left="4320" w:hanging="360"/>
      </w:pPr>
      <w:rPr>
        <w:rFonts w:ascii="Wingdings" w:hAnsi="Wingdings"/>
      </w:rPr>
    </w:lvl>
    <w:lvl w:ilvl="6" w:tplc="80247F34">
      <w:start w:val="1"/>
      <w:numFmt w:val="bullet"/>
      <w:lvlText w:val=""/>
      <w:lvlJc w:val="left"/>
      <w:pPr>
        <w:tabs>
          <w:tab w:val="num" w:pos="5040"/>
        </w:tabs>
        <w:ind w:left="5040" w:hanging="360"/>
      </w:pPr>
      <w:rPr>
        <w:rFonts w:ascii="Symbol" w:hAnsi="Symbol"/>
      </w:rPr>
    </w:lvl>
    <w:lvl w:ilvl="7" w:tplc="949EE3D0">
      <w:start w:val="1"/>
      <w:numFmt w:val="bullet"/>
      <w:lvlText w:val="o"/>
      <w:lvlJc w:val="left"/>
      <w:pPr>
        <w:tabs>
          <w:tab w:val="num" w:pos="5760"/>
        </w:tabs>
        <w:ind w:left="5760" w:hanging="360"/>
      </w:pPr>
      <w:rPr>
        <w:rFonts w:ascii="Courier New" w:hAnsi="Courier New"/>
      </w:rPr>
    </w:lvl>
    <w:lvl w:ilvl="8" w:tplc="29CCD1F2">
      <w:start w:val="1"/>
      <w:numFmt w:val="bullet"/>
      <w:lvlText w:val=""/>
      <w:lvlJc w:val="left"/>
      <w:pPr>
        <w:tabs>
          <w:tab w:val="num" w:pos="6480"/>
        </w:tabs>
        <w:ind w:left="6480" w:hanging="360"/>
      </w:pPr>
      <w:rPr>
        <w:rFonts w:ascii="Wingdings" w:hAnsi="Wingdings"/>
      </w:rPr>
    </w:lvl>
  </w:abstractNum>
  <w:num w:numId="1" w16cid:durableId="1005206569">
    <w:abstractNumId w:val="0"/>
  </w:num>
  <w:num w:numId="2" w16cid:durableId="888885163">
    <w:abstractNumId w:val="1"/>
  </w:num>
  <w:num w:numId="3" w16cid:durableId="1156074220">
    <w:abstractNumId w:val="2"/>
  </w:num>
  <w:num w:numId="4" w16cid:durableId="1222405007">
    <w:abstractNumId w:val="3"/>
  </w:num>
  <w:num w:numId="5" w16cid:durableId="1633363964">
    <w:abstractNumId w:val="4"/>
  </w:num>
  <w:num w:numId="6" w16cid:durableId="946429676">
    <w:abstractNumId w:val="5"/>
  </w:num>
  <w:num w:numId="7" w16cid:durableId="3778269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65CCA"/>
    <w:rsid w:val="00233F1E"/>
    <w:rsid w:val="005E52CD"/>
    <w:rsid w:val="00730839"/>
    <w:rsid w:val="00732CA8"/>
    <w:rsid w:val="0075391E"/>
    <w:rsid w:val="00990215"/>
    <w:rsid w:val="00A77B3E"/>
    <w:rsid w:val="00CA2A55"/>
    <w:rsid w:val="00EB2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C4920"/>
  <w15:docId w15:val="{C796BE79-1EDA-4FCB-BDBC-7802C971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05BCE"/>
    <w:pPr>
      <w:spacing w:after="120"/>
    </w:pPr>
  </w:style>
  <w:style w:type="table" w:styleId="TableGrid">
    <w:name w:val="Table Grid"/>
    <w:basedOn w:val="TableNormal"/>
    <w:rsid w:val="007E7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qualityforum.org/WorkArea/linkit.aspx?LinkIdentifier=id&amp;ItemID=96908" TargetMode="External"/><Relationship Id="rId13" Type="http://schemas.openxmlformats.org/officeDocument/2006/relationships/hyperlink" Target="https://www.qualityforum.org/WorkArea/linkit.aspx?LinkIdentifier=id&amp;ItemID=70668" TargetMode="External"/><Relationship Id="rId18" Type="http://schemas.openxmlformats.org/officeDocument/2006/relationships/hyperlink" Target="mailto:measuremaintenance@qualityforum.org"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www.qualityforum.org/Measuring_Performance/Submitting_Standards.aspx" TargetMode="External"/><Relationship Id="rId34" Type="http://schemas.openxmlformats.org/officeDocument/2006/relationships/header" Target="header1.xml"/><Relationship Id="rId7" Type="http://schemas.openxmlformats.org/officeDocument/2006/relationships/image" Target="media/image1.emf"/><Relationship Id="rId12" Type="http://schemas.openxmlformats.org/officeDocument/2006/relationships/hyperlink" Target="https://www.qualityforum.org/WorkArea/linkit.aspx?LinkIdentifier=id&amp;ItemID=70668" TargetMode="External"/><Relationship Id="rId17" Type="http://schemas.openxmlformats.org/officeDocument/2006/relationships/image" Target="media/image5.png"/><Relationship Id="rId25" Type="http://schemas.openxmlformats.org/officeDocument/2006/relationships/image" Target="media/image8.png"/><Relationship Id="rId33" Type="http://schemas.openxmlformats.org/officeDocument/2006/relationships/hyperlink" Target="https://www.cms.gov/files/document/tep-summary-report.pdf-0" TargetMode="External"/><Relationship Id="rId2" Type="http://schemas.openxmlformats.org/officeDocument/2006/relationships/styles" Target="styles.xml"/><Relationship Id="rId16" Type="http://schemas.openxmlformats.org/officeDocument/2006/relationships/hyperlink" Target="http://www.qualityforum.org/WorkArea/linkit.aspx?LinkIdentifier=id&amp;ItemID=73367" TargetMode="External"/><Relationship Id="rId20" Type="http://schemas.openxmlformats.org/officeDocument/2006/relationships/image" Target="media/image6.png"/><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7.png"/><Relationship Id="rId32" Type="http://schemas.openxmlformats.org/officeDocument/2006/relationships/hyperlink" Target="https://www.cms.gov/files/document/tep-summary-report.pdf-0"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s://www.qualityforum.org/WorkArea/linkit.aspx?LinkIdentifier=id&amp;ItemID=88439" TargetMode="External"/><Relationship Id="rId28" Type="http://schemas.openxmlformats.org/officeDocument/2006/relationships/image" Target="media/image11.png"/><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qualityforum.org/WorkArea/linkit.aspx?LinkIdentifier=id&amp;ItemID=70943" TargetMode="External"/><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hyperlink" Target="mailto:measuremaintenance@qualityforum.org" TargetMode="External"/><Relationship Id="rId14" Type="http://schemas.openxmlformats.org/officeDocument/2006/relationships/hyperlink" Target="https://www.qualityforum.org/WorkArea/linkit.aspx?LinkIdentifier=id&amp;ItemID=70668" TargetMode="External"/><Relationship Id="rId22" Type="http://schemas.openxmlformats.org/officeDocument/2006/relationships/hyperlink" Target="https://www.qualityforum.org/WorkArea/linkit.aspx?LinkIdentifier=id&amp;ItemID=88439"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86</Pages>
  <Words>21951</Words>
  <Characters>116781</Characters>
  <Application>Microsoft Office Word</Application>
  <DocSecurity>0</DocSecurity>
  <Lines>6869</Lines>
  <Paragraphs>4335</Paragraphs>
  <ScaleCrop>false</ScaleCrop>
  <HeadingPairs>
    <vt:vector size="2" baseType="variant">
      <vt:variant>
        <vt:lpstr>Title</vt:lpstr>
      </vt:variant>
      <vt:variant>
        <vt:i4>1</vt:i4>
      </vt:variant>
    </vt:vector>
  </HeadingPairs>
  <TitlesOfParts>
    <vt:vector size="1" baseType="lpstr">
      <vt:lpstr>#3719 Prevalent Standardized Waitlist Ratio (PSWR)</vt:lpstr>
    </vt:vector>
  </TitlesOfParts>
  <Company/>
  <LinksUpToDate>false</LinksUpToDate>
  <CharactersWithSpaces>134397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#3719 Prevalent Standardized Waitlist Ratio (PSWR)</dc:title>
  <dc:creator>University of Michigan</dc:creator>
  <cp:keywords>NQF Measure #3719 MSF, MUC2024-051, PWSR</cp:keywords>
  <cp:lastModifiedBy>Conner, Kelsey (US)</cp:lastModifiedBy>
  <cp:revision>4</cp:revision>
  <dcterms:created xsi:type="dcterms:W3CDTF">2024-08-06T20:17:00Z</dcterms:created>
  <dcterms:modified xsi:type="dcterms:W3CDTF">2024-08-09T19:43:00Z</dcterms:modified>
</cp:coreProperties>
</file>