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65B9A" w14:textId="0A56783E" w:rsidR="008C14D4" w:rsidRDefault="00F01D4A">
      <w:pPr>
        <w:rPr>
          <w:rFonts w:ascii="Calibri" w:hAnsi="Calibri" w:cs="Calibri"/>
          <w:b/>
          <w:bCs/>
          <w:color w:val="000000"/>
          <w:sz w:val="32"/>
          <w:szCs w:val="32"/>
          <w:shd w:val="clear" w:color="auto" w:fill="FFFFFF"/>
        </w:rPr>
      </w:pPr>
      <w:r>
        <w:rPr>
          <w:rStyle w:val="normaltextrun"/>
          <w:rFonts w:ascii="Calibri" w:hAnsi="Calibri" w:cs="Calibri"/>
          <w:b/>
          <w:bCs/>
          <w:color w:val="000000"/>
          <w:sz w:val="32"/>
          <w:szCs w:val="32"/>
          <w:shd w:val="clear" w:color="auto" w:fill="FFFFFF"/>
        </w:rPr>
        <w:t>Emergency Care Capacity and Quality (ECCQ) Electronic Clinical Quality Measure (eCQM</w:t>
      </w:r>
      <w:r w:rsidR="7FDC9213">
        <w:rPr>
          <w:rStyle w:val="normaltextrun"/>
          <w:rFonts w:ascii="Calibri" w:hAnsi="Calibri" w:cs="Calibri"/>
          <w:b/>
          <w:bCs/>
          <w:color w:val="000000"/>
          <w:sz w:val="32"/>
          <w:szCs w:val="32"/>
          <w:shd w:val="clear" w:color="auto" w:fill="FFFFFF"/>
        </w:rPr>
        <w:t>)</w:t>
      </w:r>
      <w:r w:rsidR="11D153FA">
        <w:rPr>
          <w:rStyle w:val="normaltextrun"/>
          <w:rFonts w:ascii="Calibri" w:hAnsi="Calibri" w:cs="Calibri"/>
          <w:b/>
          <w:bCs/>
          <w:color w:val="000000"/>
          <w:sz w:val="32"/>
          <w:szCs w:val="32"/>
          <w:shd w:val="clear" w:color="auto" w:fill="FFFFFF"/>
        </w:rPr>
        <w:t>, for Hospital Outpatient Quality Reporting Program</w:t>
      </w:r>
      <w:r w:rsidR="387653B5">
        <w:rPr>
          <w:rStyle w:val="normaltextrun"/>
          <w:rFonts w:ascii="Calibri" w:hAnsi="Calibri" w:cs="Calibri"/>
          <w:b/>
          <w:bCs/>
          <w:color w:val="000000"/>
          <w:sz w:val="32"/>
          <w:szCs w:val="32"/>
          <w:shd w:val="clear" w:color="auto" w:fill="FFFFFF"/>
        </w:rPr>
        <w:t>:</w:t>
      </w:r>
      <w:r>
        <w:rPr>
          <w:rStyle w:val="normaltextrun"/>
          <w:rFonts w:ascii="Calibri" w:hAnsi="Calibri" w:cs="Calibri"/>
          <w:b/>
          <w:bCs/>
          <w:color w:val="000000"/>
          <w:sz w:val="32"/>
          <w:szCs w:val="32"/>
          <w:shd w:val="clear" w:color="auto" w:fill="FFFFFF"/>
        </w:rPr>
        <w:t xml:space="preserve"> </w:t>
      </w:r>
      <w:r w:rsidR="00805F1A">
        <w:rPr>
          <w:rStyle w:val="normaltextrun"/>
          <w:rFonts w:ascii="Calibri" w:hAnsi="Calibri" w:cs="Calibri"/>
          <w:b/>
          <w:bCs/>
          <w:color w:val="000000"/>
          <w:sz w:val="32"/>
          <w:szCs w:val="32"/>
          <w:shd w:val="clear" w:color="auto" w:fill="FFFFFF"/>
        </w:rPr>
        <w:t xml:space="preserve">Measure </w:t>
      </w:r>
      <w:r>
        <w:rPr>
          <w:rStyle w:val="normaltextrun"/>
          <w:rFonts w:ascii="Calibri" w:hAnsi="Calibri" w:cs="Calibri"/>
          <w:b/>
          <w:bCs/>
          <w:color w:val="000000"/>
          <w:sz w:val="32"/>
          <w:szCs w:val="32"/>
          <w:shd w:val="clear" w:color="auto" w:fill="FFFFFF"/>
        </w:rPr>
        <w:t>Specifications</w:t>
      </w:r>
    </w:p>
    <w:p w14:paraId="3DA83574" w14:textId="6FB2EE52" w:rsidR="00F01D4A" w:rsidRPr="00F01D4A" w:rsidRDefault="00F01D4A" w:rsidP="00F01D4A">
      <w:pPr>
        <w:pStyle w:val="Heading2"/>
      </w:pPr>
      <w:r w:rsidRPr="00F01D4A">
        <w:t>Title</w:t>
      </w:r>
    </w:p>
    <w:p w14:paraId="13F25F05" w14:textId="17D96723" w:rsidR="00F01D4A" w:rsidRDefault="00F01D4A">
      <w:r>
        <w:t>Emergency Care Capacity and Quality Electronic Clinical Quality Measure (eCQM)</w:t>
      </w:r>
    </w:p>
    <w:p w14:paraId="0FC948C2" w14:textId="5E660A88" w:rsidR="00F01D4A" w:rsidRDefault="00F01D4A" w:rsidP="00F01D4A">
      <w:pPr>
        <w:pStyle w:val="Heading2"/>
      </w:pPr>
      <w:r>
        <w:t>Measurement Period</w:t>
      </w:r>
    </w:p>
    <w:p w14:paraId="51F122F3" w14:textId="20249B99" w:rsidR="00F01D4A" w:rsidRDefault="00F01D4A">
      <w:r>
        <w:t>January 1 – December 31, one calendar year</w:t>
      </w:r>
    </w:p>
    <w:p w14:paraId="29106141" w14:textId="5B48C47E" w:rsidR="00F01D4A" w:rsidRDefault="00F01D4A" w:rsidP="00F01D4A">
      <w:pPr>
        <w:pStyle w:val="Heading2"/>
      </w:pPr>
      <w:r>
        <w:t>Measure Type</w:t>
      </w:r>
    </w:p>
    <w:p w14:paraId="4F59A824" w14:textId="599EA4C1" w:rsidR="00F01D4A" w:rsidRDefault="00F01D4A">
      <w:r>
        <w:t>Intermediate outcome</w:t>
      </w:r>
    </w:p>
    <w:p w14:paraId="150BD7AB" w14:textId="18456C25" w:rsidR="00F01D4A" w:rsidRDefault="00F01D4A" w:rsidP="00F01D4A">
      <w:pPr>
        <w:pStyle w:val="Heading2"/>
      </w:pPr>
      <w:r>
        <w:t>Measure Description</w:t>
      </w:r>
    </w:p>
    <w:p w14:paraId="246806E0" w14:textId="05621618" w:rsidR="00F01D4A" w:rsidRDefault="7BA14159">
      <w:r>
        <w:t>This measure's main objectives are to capture variation in emergency care and measure capacity and quality of emergency care to support hospital quality improvement.</w:t>
      </w:r>
      <w:r w:rsidR="00F01D4A">
        <w:t xml:space="preserve"> The measure aims to reduce patient harm and improve outcomes for patients requiring emergency care in an emergency department (ED). Emergency care capacity is inclusive of several concepts pertaining to boarding and crowding in an ED. This measure will be designed to align with incentives to promote improved care both in EDs and the broader health system</w:t>
      </w:r>
      <w:r w:rsidR="000D2B73">
        <w:t xml:space="preserve"> to help identify where patients do not receive </w:t>
      </w:r>
      <w:r w:rsidR="000C4464">
        <w:t>timely</w:t>
      </w:r>
      <w:r w:rsidR="000D2B73">
        <w:t xml:space="preserve"> access to emergency care.</w:t>
      </w:r>
    </w:p>
    <w:p w14:paraId="7E92138E" w14:textId="51106BC2" w:rsidR="001B314D" w:rsidRDefault="00F01D4A">
      <w:r>
        <w:t xml:space="preserve">The measure intends to capture established outcome metrics that quantify capacity and access of care in an </w:t>
      </w:r>
      <w:r w:rsidR="00B31507">
        <w:t>ED and</w:t>
      </w:r>
      <w:r w:rsidR="000D2B73">
        <w:t xml:space="preserve"> intends to positively impact millions of patients who seek treatment in the ED and help address long standing disparities in emergency care, including for patients with mental health </w:t>
      </w:r>
      <w:r w:rsidR="000C4464">
        <w:t>diagnoses</w:t>
      </w:r>
      <w:r>
        <w:t>.</w:t>
      </w:r>
      <w:r w:rsidR="000D2B73">
        <w:t xml:space="preserve"> </w:t>
      </w:r>
      <w:r w:rsidR="001B314D">
        <w:t>Additional disparities in ED care are well documented for patients of older age, by race and ethnicity,</w:t>
      </w:r>
      <w:r w:rsidR="00808AE2">
        <w:t xml:space="preserve"> primary language, and insurance status; such documented disparities</w:t>
      </w:r>
      <w:r w:rsidR="001B314D">
        <w:t xml:space="preserve"> includ</w:t>
      </w:r>
      <w:r w:rsidR="6F259D4B">
        <w:t>e</w:t>
      </w:r>
      <w:r w:rsidR="001B314D">
        <w:t xml:space="preserve"> significantly longer ED wait times, </w:t>
      </w:r>
      <w:r w:rsidR="1A0F4AD6">
        <w:t>higher left without being seen rates</w:t>
      </w:r>
      <w:r w:rsidR="001B314D">
        <w:t>, longer boarding times, and longer total length of stay in the ED.</w:t>
      </w:r>
      <w:r>
        <w:t xml:space="preserve"> </w:t>
      </w:r>
    </w:p>
    <w:p w14:paraId="30C1EAD3" w14:textId="641D52FA" w:rsidR="00F01D4A" w:rsidRDefault="00F01D4A">
      <w:r>
        <w:t xml:space="preserve">The target population includes patients of all ages and all visits that occur at an ED. </w:t>
      </w:r>
      <w:r w:rsidR="00706F72">
        <w:t xml:space="preserve">There are </w:t>
      </w:r>
      <w:r w:rsidR="001B314D">
        <w:t xml:space="preserve">four </w:t>
      </w:r>
      <w:r w:rsidR="00706F72">
        <w:t>separate cohorts for this measure</w:t>
      </w:r>
      <w:r w:rsidR="001B314D">
        <w:t xml:space="preserve">, stratified by age and </w:t>
      </w:r>
      <w:r w:rsidR="6A4D99CE">
        <w:t>p</w:t>
      </w:r>
      <w:r w:rsidR="7AF90E3A">
        <w:t>rincipal</w:t>
      </w:r>
      <w:r w:rsidR="001B314D">
        <w:t xml:space="preserve"> mental health </w:t>
      </w:r>
      <w:r w:rsidR="000C4464">
        <w:t>diagnosis</w:t>
      </w:r>
      <w:r w:rsidR="001B314D">
        <w:t>.</w:t>
      </w:r>
      <w:r w:rsidR="00706F72">
        <w:t xml:space="preserve"> </w:t>
      </w:r>
      <w:r w:rsidR="7873BFE3">
        <w:t xml:space="preserve"> </w:t>
      </w:r>
    </w:p>
    <w:p w14:paraId="3FB5A446" w14:textId="11B01484" w:rsidR="00706F72" w:rsidRDefault="00706F72" w:rsidP="00F77CE4">
      <w:pPr>
        <w:pStyle w:val="Heading2"/>
      </w:pPr>
      <w:r>
        <w:t>Data Sources</w:t>
      </w:r>
    </w:p>
    <w:p w14:paraId="1588F823" w14:textId="729C49F8" w:rsidR="00706F72" w:rsidRDefault="00706F72">
      <w:r>
        <w:t xml:space="preserve">This measure will be calculated using data from electronic health records (EHRs) from individual EDs, including standalone </w:t>
      </w:r>
      <w:r w:rsidR="002A4DE0">
        <w:t xml:space="preserve">EDs </w:t>
      </w:r>
      <w:r>
        <w:t>and those associated with a hospital and/or health system.</w:t>
      </w:r>
    </w:p>
    <w:p w14:paraId="04C1CC4E" w14:textId="7A20F932" w:rsidR="00706F72" w:rsidRDefault="00706F72" w:rsidP="00F77CE4">
      <w:pPr>
        <w:pStyle w:val="Heading2"/>
      </w:pPr>
      <w:r>
        <w:t>Denominator</w:t>
      </w:r>
    </w:p>
    <w:p w14:paraId="7EA2F2C5" w14:textId="020DDE9C" w:rsidR="00706F72" w:rsidRDefault="00102108">
      <w:r>
        <w:t>Includes a</w:t>
      </w:r>
      <w:r w:rsidR="00706F72">
        <w:t xml:space="preserve">ll ED visits </w:t>
      </w:r>
      <w:r w:rsidR="71EE5B2A">
        <w:t>associated</w:t>
      </w:r>
      <w:r w:rsidR="00706F72">
        <w:t xml:space="preserve"> with patients of all ages</w:t>
      </w:r>
      <w:r w:rsidR="00805F1A">
        <w:t>, for all</w:t>
      </w:r>
      <w:r w:rsidR="00836559">
        <w:t>-</w:t>
      </w:r>
      <w:r w:rsidR="00805F1A">
        <w:t xml:space="preserve">payers, </w:t>
      </w:r>
      <w:r w:rsidR="00706F72">
        <w:t xml:space="preserve">during the </w:t>
      </w:r>
      <w:r w:rsidR="00F81C0F">
        <w:t>performance</w:t>
      </w:r>
      <w:r w:rsidR="00706F72">
        <w:t xml:space="preserve"> period. Patients can have multiple visits during a </w:t>
      </w:r>
      <w:r w:rsidR="00F81C0F">
        <w:t>performance</w:t>
      </w:r>
      <w:r w:rsidR="00706F72">
        <w:t xml:space="preserve"> period; each visit is eligible to contribute to the </w:t>
      </w:r>
      <w:r w:rsidR="00805F1A">
        <w:t>outcome</w:t>
      </w:r>
      <w:r w:rsidR="00706F72">
        <w:t xml:space="preserve">. </w:t>
      </w:r>
    </w:p>
    <w:p w14:paraId="1D8C7F34" w14:textId="2B4CEC45" w:rsidR="00706F72" w:rsidRDefault="00706F72" w:rsidP="00F77CE4">
      <w:pPr>
        <w:pStyle w:val="Heading2"/>
      </w:pPr>
      <w:r>
        <w:t>Exclusion Criteria</w:t>
      </w:r>
    </w:p>
    <w:p w14:paraId="087B603B" w14:textId="4B964E31" w:rsidR="002309CF" w:rsidRDefault="0015357A">
      <w:r>
        <w:t>This measure has no denominator exclusions.</w:t>
      </w:r>
    </w:p>
    <w:p w14:paraId="1AD25431" w14:textId="34FE9A18" w:rsidR="00F01D4A" w:rsidRDefault="00F01D4A" w:rsidP="003A0940">
      <w:pPr>
        <w:pStyle w:val="Heading2"/>
      </w:pPr>
      <w:r>
        <w:t>Numerator</w:t>
      </w:r>
    </w:p>
    <w:p w14:paraId="575099C5" w14:textId="53966DEB" w:rsidR="00F01D4A" w:rsidRDefault="00F01D4A">
      <w:r>
        <w:t>The numerator is</w:t>
      </w:r>
      <w:r w:rsidR="00805F1A">
        <w:t xml:space="preserve"> comprised of</w:t>
      </w:r>
      <w:r>
        <w:t xml:space="preserve"> any ED visit </w:t>
      </w:r>
      <w:r w:rsidR="00805F1A">
        <w:t>in the denominator with any</w:t>
      </w:r>
      <w:r>
        <w:t xml:space="preserve"> </w:t>
      </w:r>
      <w:r w:rsidR="00805F1A">
        <w:t xml:space="preserve">quality gap in access; if the </w:t>
      </w:r>
      <w:r>
        <w:t xml:space="preserve">patient experiences any of the following during a visit, </w:t>
      </w:r>
      <w:r w:rsidR="00805F1A">
        <w:t>the visit is included in the numerator:</w:t>
      </w:r>
    </w:p>
    <w:p w14:paraId="01961693" w14:textId="62DCBF8D" w:rsidR="003A0940" w:rsidRDefault="009E1A62" w:rsidP="009E1A62">
      <w:pPr>
        <w:pStyle w:val="ListParagraph"/>
        <w:numPr>
          <w:ilvl w:val="0"/>
          <w:numId w:val="5"/>
        </w:numPr>
      </w:pPr>
      <w:bookmarkStart w:id="0" w:name="_Hlk150441080"/>
      <w:r>
        <w:lastRenderedPageBreak/>
        <w:t>T</w:t>
      </w:r>
      <w:r w:rsidRPr="009E1A62">
        <w:t xml:space="preserve">he patient waited longer than </w:t>
      </w:r>
      <w:r w:rsidRPr="009E1A62">
        <w:rPr>
          <w:b/>
          <w:bCs/>
        </w:rPr>
        <w:t>1 hour</w:t>
      </w:r>
      <w:r w:rsidRPr="009E1A62">
        <w:t xml:space="preserve"> to be placed in a treatment room or dedicated treatment area that allows for audiovisual privacy during history-taking and physical examination</w:t>
      </w:r>
      <w:r>
        <w:t>;</w:t>
      </w:r>
      <w:r w:rsidR="005A226B">
        <w:t xml:space="preserve"> or</w:t>
      </w:r>
    </w:p>
    <w:p w14:paraId="247E6B87" w14:textId="70A3F8E4" w:rsidR="003A0940" w:rsidRDefault="00651276" w:rsidP="004D036D">
      <w:pPr>
        <w:pStyle w:val="ListParagraph"/>
        <w:numPr>
          <w:ilvl w:val="0"/>
          <w:numId w:val="5"/>
        </w:numPr>
      </w:pPr>
      <w:r>
        <w:t>The patient l</w:t>
      </w:r>
      <w:r w:rsidR="0015357A">
        <w:t xml:space="preserve">eft the ED </w:t>
      </w:r>
      <w:r w:rsidR="0010729B">
        <w:t xml:space="preserve">without being evaluated by a physician/advanced practice nurse/physician’s </w:t>
      </w:r>
      <w:r w:rsidR="004666AA">
        <w:t>assistant,</w:t>
      </w:r>
      <w:r w:rsidR="0010729B">
        <w:t xml:space="preserve"> </w:t>
      </w:r>
      <w:r w:rsidR="003A0940">
        <w:t>or</w:t>
      </w:r>
    </w:p>
    <w:p w14:paraId="20AE3AAF" w14:textId="69B613BF" w:rsidR="003A0940" w:rsidRPr="00735564" w:rsidRDefault="003A0940" w:rsidP="004D036D">
      <w:pPr>
        <w:pStyle w:val="ListParagraph"/>
        <w:numPr>
          <w:ilvl w:val="0"/>
          <w:numId w:val="5"/>
        </w:numPr>
        <w:rPr>
          <w:i/>
        </w:rPr>
      </w:pPr>
      <w:r>
        <w:t xml:space="preserve">The patient boarded (time from </w:t>
      </w:r>
      <w:r w:rsidR="00E13A99">
        <w:t>Decision to Admit (order)</w:t>
      </w:r>
      <w:r>
        <w:t xml:space="preserve"> to ED departure for admitted patients) in the ED for longer than </w:t>
      </w:r>
      <w:r w:rsidRPr="5FC5073A">
        <w:rPr>
          <w:b/>
          <w:bCs/>
        </w:rPr>
        <w:t>4 hours</w:t>
      </w:r>
      <w:r>
        <w:t>, or</w:t>
      </w:r>
    </w:p>
    <w:p w14:paraId="332AEB14" w14:textId="5EF39105" w:rsidR="0070272F" w:rsidRDefault="00F81C0F" w:rsidP="004D036D">
      <w:pPr>
        <w:pStyle w:val="ListParagraph"/>
        <w:numPr>
          <w:ilvl w:val="0"/>
          <w:numId w:val="5"/>
        </w:numPr>
      </w:pPr>
      <w:r>
        <w:t>T</w:t>
      </w:r>
      <w:r w:rsidR="0070272F">
        <w:t xml:space="preserve">he patient had an ED length of stay (LOS) (time from ED arrival to ED </w:t>
      </w:r>
      <w:r w:rsidR="00EC754D">
        <w:t xml:space="preserve">physical </w:t>
      </w:r>
      <w:r w:rsidR="0070272F">
        <w:t>departure</w:t>
      </w:r>
      <w:r w:rsidR="00381CF9">
        <w:t xml:space="preserve"> as defined by the ED depart timestamp</w:t>
      </w:r>
      <w:r w:rsidR="0070272F">
        <w:t xml:space="preserve">) of longer than </w:t>
      </w:r>
      <w:r w:rsidRPr="5FC5073A">
        <w:rPr>
          <w:b/>
          <w:bCs/>
        </w:rPr>
        <w:t xml:space="preserve">8 </w:t>
      </w:r>
      <w:r w:rsidR="0070272F" w:rsidRPr="5FC5073A">
        <w:rPr>
          <w:b/>
          <w:bCs/>
        </w:rPr>
        <w:t>hours</w:t>
      </w:r>
      <w:r w:rsidR="0070272F">
        <w:t>.</w:t>
      </w:r>
      <w:bookmarkEnd w:id="0"/>
    </w:p>
    <w:p w14:paraId="79BEFB57" w14:textId="5A428BFA" w:rsidR="00D80EA6" w:rsidRDefault="003A0940" w:rsidP="0018733D">
      <w:pPr>
        <w:pStyle w:val="Heading2"/>
      </w:pPr>
      <w:r>
        <w:t>Numerator Exclusions</w:t>
      </w:r>
    </w:p>
    <w:p w14:paraId="32286B93" w14:textId="1D090121" w:rsidR="00390C01" w:rsidRDefault="0015357A" w:rsidP="00390C01">
      <w:r>
        <w:t>ED observation stays</w:t>
      </w:r>
      <w:r w:rsidR="0010729B">
        <w:t>, defined as an observation encounter where the patient remains physically in an area under control of the emergency department and under the care of an emergency department clinician</w:t>
      </w:r>
      <w:r w:rsidR="006B1855">
        <w:t xml:space="preserve"> inclusive of observation in a hospital bed</w:t>
      </w:r>
      <w:r w:rsidR="0010729B">
        <w:t>,</w:t>
      </w:r>
      <w:r>
        <w:t xml:space="preserve"> will</w:t>
      </w:r>
      <w:r w:rsidR="00390C01">
        <w:t xml:space="preserve"> be excluded from </w:t>
      </w:r>
      <w:r>
        <w:t xml:space="preserve">criteria </w:t>
      </w:r>
      <w:r w:rsidR="00390C01">
        <w:t>#3 (boarding</w:t>
      </w:r>
      <w:r>
        <w:t>)</w:t>
      </w:r>
      <w:r w:rsidR="00390C01">
        <w:t xml:space="preserve">, and #4 (ED LOS). </w:t>
      </w:r>
      <w:r>
        <w:t>To clarify</w:t>
      </w:r>
      <w:r w:rsidR="00390C01">
        <w:t xml:space="preserve">, patients who have a ‘decision to admit’ after an ED observation stay </w:t>
      </w:r>
      <w:r w:rsidR="00255119">
        <w:t xml:space="preserve">remain </w:t>
      </w:r>
      <w:r w:rsidR="00390C01">
        <w:t>excluded from criteria #3 (boarding) calculations.</w:t>
      </w:r>
    </w:p>
    <w:p w14:paraId="43BCBB61" w14:textId="2031811C" w:rsidR="003A0940" w:rsidRDefault="00706F72" w:rsidP="00706F72">
      <w:pPr>
        <w:pStyle w:val="Heading2"/>
      </w:pPr>
      <w:r>
        <w:t>Stratification</w:t>
      </w:r>
    </w:p>
    <w:p w14:paraId="46F70534" w14:textId="053EEF8E" w:rsidR="001B314D" w:rsidRDefault="001B314D" w:rsidP="003A0940">
      <w:r>
        <w:t xml:space="preserve">Four </w:t>
      </w:r>
      <w:r w:rsidR="004E0B38">
        <w:t>cohorts</w:t>
      </w:r>
      <w:r w:rsidR="00BD5BAD">
        <w:t xml:space="preserve"> </w:t>
      </w:r>
      <w:r w:rsidR="00706F72">
        <w:t>of the measure will be calculated</w:t>
      </w:r>
      <w:r w:rsidR="00EC754D">
        <w:t>, stratified by age and mental health visits.</w:t>
      </w:r>
    </w:p>
    <w:p w14:paraId="2D0CB891" w14:textId="6AB9792D" w:rsidR="772FFB12" w:rsidRDefault="11F6523B" w:rsidP="08215992">
      <w:pPr>
        <w:rPr>
          <w:rFonts w:ascii="Calibri" w:eastAsia="Calibri" w:hAnsi="Calibri" w:cs="Calibri"/>
          <w:color w:val="000000" w:themeColor="text1"/>
        </w:rPr>
      </w:pPr>
      <w:r w:rsidRPr="62F6FB79">
        <w:rPr>
          <w:rFonts w:ascii="Calibri" w:eastAsia="Calibri" w:hAnsi="Calibri" w:cs="Calibri"/>
          <w:color w:val="000000" w:themeColor="text1"/>
        </w:rPr>
        <w:t xml:space="preserve">A history of mental health </w:t>
      </w:r>
      <w:r w:rsidR="000C4464">
        <w:t>diagnosis</w:t>
      </w:r>
      <w:r w:rsidR="000C4464" w:rsidRPr="62F6FB79">
        <w:rPr>
          <w:rFonts w:ascii="Calibri" w:eastAsia="Calibri" w:hAnsi="Calibri" w:cs="Calibri"/>
          <w:color w:val="000000" w:themeColor="text1"/>
        </w:rPr>
        <w:t xml:space="preserve"> </w:t>
      </w:r>
      <w:r w:rsidRPr="62F6FB79">
        <w:rPr>
          <w:rFonts w:ascii="Calibri" w:eastAsia="Calibri" w:hAnsi="Calibri" w:cs="Calibri"/>
          <w:color w:val="000000" w:themeColor="text1"/>
        </w:rPr>
        <w:t xml:space="preserve">does not automatically exclude or include patients in the strata; the principal diagnosis defines inclusion in the appropriate strata. The principal diagnosis will be used to define strata inclusion; a history of mental health </w:t>
      </w:r>
      <w:r w:rsidR="000C4464">
        <w:t>diagnoses</w:t>
      </w:r>
      <w:r w:rsidR="000C4464" w:rsidRPr="62F6FB79">
        <w:rPr>
          <w:rFonts w:ascii="Calibri" w:eastAsia="Calibri" w:hAnsi="Calibri" w:cs="Calibri"/>
          <w:color w:val="000000" w:themeColor="text1"/>
        </w:rPr>
        <w:t xml:space="preserve"> </w:t>
      </w:r>
      <w:r w:rsidRPr="62F6FB79">
        <w:rPr>
          <w:rFonts w:ascii="Calibri" w:eastAsia="Calibri" w:hAnsi="Calibri" w:cs="Calibri"/>
          <w:color w:val="000000" w:themeColor="text1"/>
        </w:rPr>
        <w:t xml:space="preserve">will not automatically exclude or include patients in either stratum. For the </w:t>
      </w:r>
      <w:r w:rsidR="000C4464" w:rsidRPr="62F6FB79">
        <w:rPr>
          <w:rFonts w:ascii="Calibri" w:eastAsia="Calibri" w:hAnsi="Calibri" w:cs="Calibri"/>
          <w:color w:val="000000" w:themeColor="text1"/>
        </w:rPr>
        <w:t>purposes</w:t>
      </w:r>
      <w:r w:rsidRPr="62F6FB79">
        <w:rPr>
          <w:rFonts w:ascii="Calibri" w:eastAsia="Calibri" w:hAnsi="Calibri" w:cs="Calibri"/>
          <w:color w:val="000000" w:themeColor="text1"/>
        </w:rPr>
        <w:t xml:space="preserve"> of this measure, mental health </w:t>
      </w:r>
      <w:r w:rsidR="000C4464">
        <w:t>diagnoses</w:t>
      </w:r>
      <w:r w:rsidR="000C4464" w:rsidRPr="62F6FB79">
        <w:rPr>
          <w:rFonts w:ascii="Calibri" w:eastAsia="Calibri" w:hAnsi="Calibri" w:cs="Calibri"/>
          <w:color w:val="000000" w:themeColor="text1"/>
        </w:rPr>
        <w:t xml:space="preserve"> </w:t>
      </w:r>
      <w:r w:rsidRPr="62F6FB79">
        <w:rPr>
          <w:rFonts w:ascii="Calibri" w:eastAsia="Calibri" w:hAnsi="Calibri" w:cs="Calibri"/>
          <w:color w:val="000000" w:themeColor="text1"/>
        </w:rPr>
        <w:t>do not include substance use disorders.</w:t>
      </w:r>
    </w:p>
    <w:p w14:paraId="78DF73D8" w14:textId="255B84B7" w:rsidR="00706F72" w:rsidRDefault="00706F72" w:rsidP="003A0940">
      <w:r>
        <w:t xml:space="preserve">Stratification by age will be </w:t>
      </w:r>
      <w:r w:rsidR="00BF38F2">
        <w:t xml:space="preserve">reported </w:t>
      </w:r>
      <w:r>
        <w:t xml:space="preserve">for patients </w:t>
      </w:r>
      <w:r w:rsidR="00805F1A">
        <w:t xml:space="preserve">less than </w:t>
      </w:r>
      <w:r>
        <w:t>18 years of age and patients 18 years of age and older</w:t>
      </w:r>
      <w:r w:rsidR="00BF38F2">
        <w:t xml:space="preserve">, for both </w:t>
      </w:r>
      <w:r w:rsidR="00A236E0">
        <w:t>mental</w:t>
      </w:r>
      <w:r w:rsidR="00BF38F2">
        <w:t xml:space="preserve"> health and non-</w:t>
      </w:r>
      <w:r w:rsidR="00A236E0">
        <w:t>mental</w:t>
      </w:r>
      <w:r w:rsidR="00BF38F2">
        <w:t xml:space="preserve"> health cohorts</w:t>
      </w:r>
      <w:r>
        <w:t xml:space="preserve">. </w:t>
      </w:r>
    </w:p>
    <w:p w14:paraId="5F8B29E7" w14:textId="0C10D271" w:rsidR="00BF38F2" w:rsidRDefault="00BF38F2" w:rsidP="003A0940">
      <w:r>
        <w:t>Total score and score for the following strata will be reported:</w:t>
      </w:r>
    </w:p>
    <w:p w14:paraId="2F9332AD" w14:textId="15F0B89F" w:rsidR="002A44EA" w:rsidRDefault="002A44EA" w:rsidP="002A44EA">
      <w:r w:rsidRPr="00A236E0">
        <w:rPr>
          <w:u w:val="single"/>
        </w:rPr>
        <w:t>Stratification 1</w:t>
      </w:r>
      <w:r w:rsidR="00A236E0">
        <w:t xml:space="preserve">: </w:t>
      </w:r>
      <w:r>
        <w:t xml:space="preserve">all patients aged less than 18 years seen in the ED who do not have an ED encounter principal diagnosis consistent with psychiatric/mental health </w:t>
      </w:r>
      <w:r w:rsidR="000C4464">
        <w:t>diagnoses</w:t>
      </w:r>
      <w:r>
        <w:t xml:space="preserve">. Patients who have an ED encounter principal diagnosis consistent with substance use disorders will be included in this stratification. </w:t>
      </w:r>
    </w:p>
    <w:p w14:paraId="7BEC9EE4" w14:textId="2062549F" w:rsidR="002A44EA" w:rsidRDefault="002A44EA" w:rsidP="002A44EA">
      <w:r w:rsidRPr="00A236E0">
        <w:rPr>
          <w:u w:val="single"/>
        </w:rPr>
        <w:t>Stratification 2</w:t>
      </w:r>
      <w:r>
        <w:t xml:space="preserve">: all patients aged 18 years and older seen in the ED who do not have an ED encounter principal diagnosis consistent with psychiatric/mental health </w:t>
      </w:r>
      <w:r w:rsidR="000C4464">
        <w:t>diagnoses</w:t>
      </w:r>
      <w:r>
        <w:t xml:space="preserve">. Patients who have an ED encounter principal diagnosis consistent with substance use disorders will be included in this stratification. </w:t>
      </w:r>
    </w:p>
    <w:p w14:paraId="426332BB" w14:textId="19D87892" w:rsidR="002A44EA" w:rsidRDefault="002A44EA" w:rsidP="002A44EA">
      <w:r w:rsidRPr="00A236E0">
        <w:rPr>
          <w:u w:val="single"/>
        </w:rPr>
        <w:t>Stratification 3</w:t>
      </w:r>
      <w:r>
        <w:t xml:space="preserve">: all patients aged less than 18 years seen in the ED who have an ED encounter principal diagnosis consistent with psychiatric/mental health </w:t>
      </w:r>
      <w:r w:rsidR="000C4464">
        <w:t>diagnoses</w:t>
      </w:r>
      <w:r>
        <w:t xml:space="preserve">. </w:t>
      </w:r>
    </w:p>
    <w:p w14:paraId="6D964947" w14:textId="3BCF1A48" w:rsidR="00A236E0" w:rsidRDefault="002A44EA" w:rsidP="00A236E0">
      <w:r w:rsidRPr="00A236E0">
        <w:rPr>
          <w:u w:val="single"/>
        </w:rPr>
        <w:t>Stratification 4</w:t>
      </w:r>
      <w:r>
        <w:t xml:space="preserve">: all patients aged 18 years and older seen in the ED who have an ED encounter principal diagnosis consistent with psychiatric/mental health </w:t>
      </w:r>
      <w:r w:rsidR="000C4464">
        <w:t>diagnoses</w:t>
      </w:r>
      <w:r>
        <w:t xml:space="preserve">. </w:t>
      </w:r>
    </w:p>
    <w:p w14:paraId="61C8D66C" w14:textId="7897AB5F" w:rsidR="00706F72" w:rsidRDefault="00706F72" w:rsidP="0015357A">
      <w:pPr>
        <w:pStyle w:val="Heading2"/>
      </w:pPr>
      <w:r>
        <w:t>Risk Adjustment</w:t>
      </w:r>
    </w:p>
    <w:p w14:paraId="31EF632F" w14:textId="77777777" w:rsidR="003C7987" w:rsidRDefault="00706F72" w:rsidP="003A0940">
      <w:r>
        <w:t xml:space="preserve">The measure </w:t>
      </w:r>
      <w:r w:rsidR="00805F1A">
        <w:t>will utilize</w:t>
      </w:r>
      <w:r>
        <w:t xml:space="preserve"> volume standardization to address differences in patient population between hospitals. </w:t>
      </w:r>
      <w:r w:rsidR="00F81C0F">
        <w:t xml:space="preserve">Volume-standardization is harmonized with other existing measures and accommodates a “like </w:t>
      </w:r>
      <w:r w:rsidR="00F81C0F">
        <w:lastRenderedPageBreak/>
        <w:t xml:space="preserve">to like” comparison among hospitals. </w:t>
      </w:r>
      <w:r w:rsidR="00805F1A">
        <w:t>Large</w:t>
      </w:r>
      <w:r>
        <w:t xml:space="preserve"> volume EDs will always be compared to large volume EDs, while smaller volume EDs will always be compared to EDs of similar size. </w:t>
      </w:r>
    </w:p>
    <w:p w14:paraId="1B901A49" w14:textId="438311E6" w:rsidR="00690CF6" w:rsidRDefault="00690CF6" w:rsidP="00690CF6">
      <w:pPr>
        <w:pStyle w:val="Heading2"/>
      </w:pPr>
      <w:r>
        <w:t>Measure Score Calculation</w:t>
      </w:r>
    </w:p>
    <w:p w14:paraId="057E8D00" w14:textId="0AE8B8FE" w:rsidR="00683620" w:rsidRDefault="00683620" w:rsidP="08215992">
      <w:pPr>
        <w:rPr>
          <w:highlight w:val="yellow"/>
        </w:rPr>
      </w:pPr>
      <w:r>
        <w:t xml:space="preserve">The score for public display will be an adjusted percentage of access failures. This score is first calculated at the individual ED level as the proportion of ED visits where any one of the four outcomes occurred. Scores will be standardized z-scores by ED case volume strata (defined in ED visit volume bands of 20,000 visits). For CCN’s with more than one ED, volume-adjusted z-scores are then combined as a weighted average for that CCN. This volume-adjusted z-score is then multiplied by the national average to display an adjusted percentage, consistent with other measures currently displayed on Care Compare. A higher score means worse performance, compared to like CCNs. Individual hospitals will receive additional score information. See </w:t>
      </w:r>
      <w:r w:rsidR="000C4464">
        <w:t xml:space="preserve">the </w:t>
      </w:r>
      <w:hyperlink w:anchor="Appendix">
        <w:r w:rsidR="000C4464">
          <w:rPr>
            <w:rStyle w:val="Hyperlink"/>
          </w:rPr>
          <w:t>Appendix</w:t>
        </w:r>
      </w:hyperlink>
      <w:r>
        <w:t xml:space="preserve"> for a mock score </w:t>
      </w:r>
      <w:r w:rsidR="000C4464">
        <w:t>example.</w:t>
      </w:r>
    </w:p>
    <w:p w14:paraId="433FFBA7" w14:textId="4EA9BCE6" w:rsidR="08215992" w:rsidRDefault="08215992">
      <w:r>
        <w:br w:type="page"/>
      </w:r>
    </w:p>
    <w:p w14:paraId="4939AF18" w14:textId="2EB6D643" w:rsidR="00683620" w:rsidRPr="00E32206" w:rsidRDefault="00683620" w:rsidP="00426B75">
      <w:pPr>
        <w:pStyle w:val="Heading2"/>
      </w:pPr>
      <w:bookmarkStart w:id="1" w:name="Bookmark3"/>
      <w:bookmarkStart w:id="2" w:name="MockScore"/>
      <w:bookmarkStart w:id="3" w:name="Appendix"/>
      <w:r w:rsidRPr="08215992">
        <w:rPr>
          <w:bCs/>
        </w:rPr>
        <w:lastRenderedPageBreak/>
        <w:t xml:space="preserve">Appendix: </w:t>
      </w:r>
      <w:r w:rsidRPr="08215992">
        <w:t>Mock Scoring Presentation</w:t>
      </w:r>
      <w:bookmarkEnd w:id="1"/>
    </w:p>
    <w:bookmarkEnd w:id="2"/>
    <w:bookmarkEnd w:id="3"/>
    <w:p w14:paraId="44FF19A3" w14:textId="77777777" w:rsidR="00683620" w:rsidRPr="0029716D" w:rsidRDefault="00683620" w:rsidP="00683620">
      <w:pPr>
        <w:spacing w:after="0"/>
      </w:pPr>
      <w:r>
        <w:t>All scores and data in this Appendix are hypothetical and for illustrative purposes only.</w:t>
      </w:r>
    </w:p>
    <w:p w14:paraId="09876DF7" w14:textId="77777777" w:rsidR="00683620" w:rsidRDefault="00683620" w:rsidP="00683620">
      <w:pPr>
        <w:spacing w:after="0"/>
        <w:rPr>
          <w:u w:val="single"/>
        </w:rPr>
      </w:pPr>
    </w:p>
    <w:p w14:paraId="2B9257DA" w14:textId="77777777" w:rsidR="00683620" w:rsidRPr="00FD3B79" w:rsidRDefault="00683620" w:rsidP="00683620">
      <w:pPr>
        <w:spacing w:after="0"/>
        <w:rPr>
          <w:b/>
          <w:bCs/>
        </w:rPr>
      </w:pPr>
      <w:r w:rsidRPr="000A4508">
        <w:rPr>
          <w:u w:val="single"/>
        </w:rPr>
        <w:t>Narrative</w:t>
      </w:r>
      <w:r w:rsidRPr="00FD3B79">
        <w:rPr>
          <w:b/>
          <w:bCs/>
        </w:rPr>
        <w:t>:</w:t>
      </w:r>
    </w:p>
    <w:p w14:paraId="284105BC" w14:textId="77777777" w:rsidR="00683620" w:rsidRDefault="00683620" w:rsidP="00683620">
      <w:r>
        <w:t xml:space="preserve">For hospital X with 100,000 ED visits (volume band Y) in a CCN with 3 other facilities, </w:t>
      </w:r>
      <w:r w:rsidRPr="0049399E">
        <w:t>we assume 25% of their total ED visits qualify as an access failure based on numerator definition (visits that fall into any one of the four numerator categories). After volume standardization within the volume band, this score becomes 20%.</w:t>
      </w:r>
    </w:p>
    <w:p w14:paraId="6185D855" w14:textId="77777777" w:rsidR="00683620" w:rsidRPr="000A4508" w:rsidRDefault="00683620" w:rsidP="00683620">
      <w:pPr>
        <w:spacing w:after="0"/>
        <w:rPr>
          <w:u w:val="single"/>
        </w:rPr>
      </w:pPr>
      <w:r w:rsidRPr="000A4508">
        <w:rPr>
          <w:u w:val="single"/>
        </w:rPr>
        <w:t>Public View*</w:t>
      </w:r>
      <w:r w:rsidRPr="000A4508">
        <w:t>:</w:t>
      </w:r>
    </w:p>
    <w:p w14:paraId="66C92951" w14:textId="77777777" w:rsidR="00683620" w:rsidRDefault="00683620" w:rsidP="00683620">
      <w:pPr>
        <w:spacing w:after="0"/>
        <w:rPr>
          <w:sz w:val="18"/>
          <w:szCs w:val="18"/>
        </w:rPr>
      </w:pPr>
      <w:r>
        <w:rPr>
          <w:noProof/>
        </w:rPr>
        <w:drawing>
          <wp:inline distT="0" distB="0" distL="0" distR="0" wp14:anchorId="78665E13" wp14:editId="0A340973">
            <wp:extent cx="6032500" cy="666750"/>
            <wp:effectExtent l="19050" t="38100" r="25400" b="57150"/>
            <wp:docPr id="691225297"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r>
        <w:rPr>
          <w:sz w:val="18"/>
          <w:szCs w:val="18"/>
        </w:rPr>
        <w:t>*Presentation of this information is consistent with what is shown on Care Compare for current measures</w:t>
      </w:r>
    </w:p>
    <w:p w14:paraId="4E42EC9B" w14:textId="77777777" w:rsidR="00683620" w:rsidRPr="003E46E0" w:rsidRDefault="00683620" w:rsidP="00683620">
      <w:pPr>
        <w:rPr>
          <w:sz w:val="18"/>
          <w:szCs w:val="18"/>
        </w:rPr>
      </w:pPr>
      <w:r w:rsidRPr="00760495">
        <w:rPr>
          <w:sz w:val="18"/>
          <w:szCs w:val="18"/>
        </w:rPr>
        <w:t>*</w:t>
      </w:r>
      <w:r>
        <w:rPr>
          <w:sz w:val="18"/>
          <w:szCs w:val="18"/>
        </w:rPr>
        <w:t>*</w:t>
      </w:r>
      <w:r w:rsidRPr="00760495">
        <w:rPr>
          <w:sz w:val="18"/>
          <w:szCs w:val="18"/>
        </w:rPr>
        <w:t>Example language, subject to change</w:t>
      </w:r>
      <w:r>
        <w:rPr>
          <w:sz w:val="18"/>
          <w:szCs w:val="18"/>
        </w:rPr>
        <w:t xml:space="preserve"> throughout</w:t>
      </w:r>
    </w:p>
    <w:p w14:paraId="787BCA86" w14:textId="77777777" w:rsidR="00683620" w:rsidRPr="000A4508" w:rsidRDefault="00683620" w:rsidP="00683620">
      <w:pPr>
        <w:spacing w:after="0"/>
      </w:pPr>
      <w:r w:rsidRPr="000A4508">
        <w:rPr>
          <w:u w:val="single"/>
        </w:rPr>
        <w:t>Private View (for hospitals only)</w:t>
      </w:r>
      <w:r>
        <w:t>:</w:t>
      </w:r>
    </w:p>
    <w:p w14:paraId="40157D2D" w14:textId="2B850DFB" w:rsidR="00683620" w:rsidRDefault="00683620" w:rsidP="00683620">
      <w:pPr>
        <w:spacing w:after="0"/>
      </w:pPr>
      <w:r>
        <w:rPr>
          <w:noProof/>
        </w:rPr>
        <w:drawing>
          <wp:inline distT="0" distB="0" distL="0" distR="0" wp14:anchorId="095B2EB6" wp14:editId="526FB33E">
            <wp:extent cx="6108700" cy="933450"/>
            <wp:effectExtent l="19050" t="19050" r="25400" b="38100"/>
            <wp:docPr id="177103403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r>
        <w:t>For Adult, Non-</w:t>
      </w:r>
      <w:r w:rsidR="00A236E0">
        <w:t>Mental</w:t>
      </w:r>
      <w:r>
        <w:t xml:space="preserve"> Health:</w:t>
      </w:r>
    </w:p>
    <w:p w14:paraId="137002FD" w14:textId="77777777" w:rsidR="00683620" w:rsidRPr="004E344E" w:rsidRDefault="00683620" w:rsidP="00063FC3">
      <w:pPr>
        <w:pStyle w:val="ListParagraph"/>
        <w:numPr>
          <w:ilvl w:val="0"/>
          <w:numId w:val="20"/>
        </w:numPr>
      </w:pPr>
      <w:r w:rsidRPr="004E344E">
        <w:t>Numerator 1: Waited &gt; 1hr</w:t>
      </w:r>
    </w:p>
    <w:p w14:paraId="4B2F5D01" w14:textId="77777777" w:rsidR="00683620" w:rsidRPr="004E344E" w:rsidRDefault="00683620" w:rsidP="00063FC3">
      <w:pPr>
        <w:pStyle w:val="ListParagraph"/>
        <w:numPr>
          <w:ilvl w:val="1"/>
          <w:numId w:val="20"/>
        </w:numPr>
        <w:rPr>
          <w:b/>
          <w:bCs/>
        </w:rPr>
      </w:pPr>
      <w:r w:rsidRPr="004E344E">
        <w:rPr>
          <w:b/>
          <w:bCs/>
        </w:rPr>
        <w:t>Observed percentage: 8%</w:t>
      </w:r>
    </w:p>
    <w:p w14:paraId="730FD8EF" w14:textId="77777777" w:rsidR="00683620" w:rsidRPr="004E344E" w:rsidRDefault="00683620" w:rsidP="00063FC3">
      <w:pPr>
        <w:pStyle w:val="ListParagraph"/>
        <w:numPr>
          <w:ilvl w:val="0"/>
          <w:numId w:val="20"/>
        </w:numPr>
      </w:pPr>
      <w:r w:rsidRPr="004E344E">
        <w:t>Numerator 2: Left the ED without being evaluated</w:t>
      </w:r>
    </w:p>
    <w:p w14:paraId="42024667" w14:textId="77777777" w:rsidR="00683620" w:rsidRPr="004E344E" w:rsidRDefault="00683620" w:rsidP="00063FC3">
      <w:pPr>
        <w:pStyle w:val="ListParagraph"/>
        <w:numPr>
          <w:ilvl w:val="1"/>
          <w:numId w:val="20"/>
        </w:numPr>
        <w:rPr>
          <w:b/>
          <w:bCs/>
        </w:rPr>
      </w:pPr>
      <w:r w:rsidRPr="004E344E">
        <w:rPr>
          <w:b/>
          <w:bCs/>
        </w:rPr>
        <w:t>Observed percentage: 4%</w:t>
      </w:r>
    </w:p>
    <w:p w14:paraId="6C53C7BD" w14:textId="117609A1" w:rsidR="00683620" w:rsidRPr="004E344E" w:rsidRDefault="00683620" w:rsidP="00063FC3">
      <w:pPr>
        <w:pStyle w:val="ListParagraph"/>
        <w:numPr>
          <w:ilvl w:val="0"/>
          <w:numId w:val="20"/>
        </w:numPr>
        <w:rPr>
          <w:i/>
        </w:rPr>
      </w:pPr>
      <w:r w:rsidRPr="004E344E">
        <w:t>Numerator 3: Boarded &gt; 4hrs</w:t>
      </w:r>
    </w:p>
    <w:p w14:paraId="65229432" w14:textId="77777777" w:rsidR="00683620" w:rsidRPr="004E344E" w:rsidRDefault="00683620" w:rsidP="00063FC3">
      <w:pPr>
        <w:pStyle w:val="ListParagraph"/>
        <w:numPr>
          <w:ilvl w:val="1"/>
          <w:numId w:val="20"/>
        </w:numPr>
        <w:rPr>
          <w:b/>
          <w:bCs/>
          <w:i/>
        </w:rPr>
      </w:pPr>
      <w:r w:rsidRPr="004E344E">
        <w:rPr>
          <w:b/>
          <w:bCs/>
        </w:rPr>
        <w:t>Observed percentage: 20%</w:t>
      </w:r>
    </w:p>
    <w:p w14:paraId="7A9C29C9" w14:textId="77777777" w:rsidR="00683620" w:rsidRPr="004E344E" w:rsidRDefault="00683620" w:rsidP="00063FC3">
      <w:pPr>
        <w:pStyle w:val="ListParagraph"/>
        <w:numPr>
          <w:ilvl w:val="0"/>
          <w:numId w:val="20"/>
        </w:numPr>
      </w:pPr>
      <w:r w:rsidRPr="004E344E">
        <w:t>Numerator 4: ED length of stay (LOS) &gt; 8hrs</w:t>
      </w:r>
    </w:p>
    <w:p w14:paraId="53FC0C3D" w14:textId="77777777" w:rsidR="00683620" w:rsidRDefault="00683620" w:rsidP="00063FC3">
      <w:pPr>
        <w:pStyle w:val="ListParagraph"/>
        <w:numPr>
          <w:ilvl w:val="1"/>
          <w:numId w:val="20"/>
        </w:numPr>
        <w:spacing w:after="0"/>
        <w:rPr>
          <w:b/>
          <w:bCs/>
        </w:rPr>
      </w:pPr>
      <w:r w:rsidRPr="004E344E">
        <w:rPr>
          <w:b/>
          <w:bCs/>
        </w:rPr>
        <w:t>Observed percentage: 5%</w:t>
      </w:r>
    </w:p>
    <w:p w14:paraId="076E62B2" w14:textId="77777777" w:rsidR="00683620" w:rsidRPr="004E344E" w:rsidRDefault="00683620" w:rsidP="00683620">
      <w:pPr>
        <w:ind w:left="720"/>
        <w:rPr>
          <w:i/>
          <w:iCs/>
          <w:sz w:val="20"/>
          <w:szCs w:val="20"/>
        </w:rPr>
      </w:pPr>
      <w:r w:rsidRPr="004E344E">
        <w:rPr>
          <w:i/>
          <w:iCs/>
          <w:sz w:val="20"/>
          <w:szCs w:val="20"/>
        </w:rPr>
        <w:t>*Some visits may result in multiple access failures in multiple numerator categories, therefore percentages listed above may not equal the total listed above</w:t>
      </w:r>
      <w:r>
        <w:rPr>
          <w:i/>
          <w:iCs/>
          <w:sz w:val="20"/>
          <w:szCs w:val="20"/>
        </w:rPr>
        <w:t>.</w:t>
      </w:r>
    </w:p>
    <w:p w14:paraId="30CCF4AC" w14:textId="12F4E9AA" w:rsidR="00683620" w:rsidRPr="003E46E0" w:rsidRDefault="00683620" w:rsidP="00683620">
      <w:pPr>
        <w:spacing w:after="0"/>
        <w:rPr>
          <w:highlight w:val="lightGray"/>
        </w:rPr>
      </w:pPr>
      <w:r>
        <w:rPr>
          <w:noProof/>
        </w:rPr>
        <w:drawing>
          <wp:inline distT="0" distB="0" distL="0" distR="0" wp14:anchorId="6528F4FF" wp14:editId="38EAE660">
            <wp:extent cx="5943600" cy="996950"/>
            <wp:effectExtent l="19050" t="0" r="19050" b="0"/>
            <wp:docPr id="749111440"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r>
        <w:t xml:space="preserve">For Adult, </w:t>
      </w:r>
      <w:r w:rsidR="00A236E0">
        <w:t>Mental</w:t>
      </w:r>
      <w:r>
        <w:t xml:space="preserve"> Health:</w:t>
      </w:r>
    </w:p>
    <w:p w14:paraId="41D33231" w14:textId="77777777" w:rsidR="00683620" w:rsidRPr="004E344E" w:rsidRDefault="00683620" w:rsidP="00683620">
      <w:pPr>
        <w:pStyle w:val="ListParagraph"/>
        <w:numPr>
          <w:ilvl w:val="0"/>
          <w:numId w:val="17"/>
        </w:numPr>
      </w:pPr>
      <w:r w:rsidRPr="004E344E">
        <w:t>Numerator 1: Waited &gt; 1hr</w:t>
      </w:r>
    </w:p>
    <w:p w14:paraId="5E39551F" w14:textId="77777777" w:rsidR="00683620" w:rsidRPr="004E344E" w:rsidRDefault="00683620" w:rsidP="00683620">
      <w:pPr>
        <w:pStyle w:val="ListParagraph"/>
        <w:numPr>
          <w:ilvl w:val="1"/>
          <w:numId w:val="17"/>
        </w:numPr>
        <w:rPr>
          <w:b/>
          <w:bCs/>
        </w:rPr>
      </w:pPr>
      <w:r w:rsidRPr="004E344E">
        <w:rPr>
          <w:b/>
          <w:bCs/>
        </w:rPr>
        <w:t xml:space="preserve">Observed percentage: </w:t>
      </w:r>
      <w:r>
        <w:rPr>
          <w:b/>
          <w:bCs/>
        </w:rPr>
        <w:t>1</w:t>
      </w:r>
      <w:r w:rsidRPr="004E344E">
        <w:rPr>
          <w:b/>
          <w:bCs/>
        </w:rPr>
        <w:t>%</w:t>
      </w:r>
    </w:p>
    <w:p w14:paraId="58835F80" w14:textId="77777777" w:rsidR="00683620" w:rsidRPr="004E344E" w:rsidRDefault="00683620" w:rsidP="00683620">
      <w:pPr>
        <w:pStyle w:val="ListParagraph"/>
        <w:numPr>
          <w:ilvl w:val="0"/>
          <w:numId w:val="17"/>
        </w:numPr>
      </w:pPr>
      <w:r w:rsidRPr="004E344E">
        <w:t>Numerator 2: Left the ED without being evaluated</w:t>
      </w:r>
    </w:p>
    <w:p w14:paraId="42F39827" w14:textId="77777777" w:rsidR="00683620" w:rsidRPr="004E344E" w:rsidRDefault="00683620" w:rsidP="00683620">
      <w:pPr>
        <w:pStyle w:val="ListParagraph"/>
        <w:numPr>
          <w:ilvl w:val="1"/>
          <w:numId w:val="17"/>
        </w:numPr>
        <w:rPr>
          <w:b/>
          <w:bCs/>
        </w:rPr>
      </w:pPr>
      <w:r w:rsidRPr="004E344E">
        <w:rPr>
          <w:b/>
          <w:bCs/>
        </w:rPr>
        <w:t xml:space="preserve">Observed percentage: </w:t>
      </w:r>
      <w:r>
        <w:rPr>
          <w:b/>
          <w:bCs/>
        </w:rPr>
        <w:t>0</w:t>
      </w:r>
      <w:r w:rsidRPr="004E344E">
        <w:rPr>
          <w:b/>
          <w:bCs/>
        </w:rPr>
        <w:t>%</w:t>
      </w:r>
    </w:p>
    <w:p w14:paraId="1620E42A" w14:textId="4A21E5B4" w:rsidR="00683620" w:rsidRPr="004E344E" w:rsidRDefault="00683620" w:rsidP="00683620">
      <w:pPr>
        <w:pStyle w:val="ListParagraph"/>
        <w:numPr>
          <w:ilvl w:val="0"/>
          <w:numId w:val="17"/>
        </w:numPr>
        <w:rPr>
          <w:i/>
        </w:rPr>
      </w:pPr>
      <w:r w:rsidRPr="004E344E">
        <w:t>Numerator 3: Boarded &gt; 4hrs</w:t>
      </w:r>
    </w:p>
    <w:p w14:paraId="06DDEA7D" w14:textId="77777777" w:rsidR="00683620" w:rsidRPr="004E344E" w:rsidRDefault="00683620" w:rsidP="00683620">
      <w:pPr>
        <w:pStyle w:val="ListParagraph"/>
        <w:numPr>
          <w:ilvl w:val="1"/>
          <w:numId w:val="17"/>
        </w:numPr>
        <w:rPr>
          <w:b/>
          <w:bCs/>
          <w:i/>
        </w:rPr>
      </w:pPr>
      <w:r w:rsidRPr="004E344E">
        <w:rPr>
          <w:b/>
          <w:bCs/>
        </w:rPr>
        <w:lastRenderedPageBreak/>
        <w:t>Observed percentage:</w:t>
      </w:r>
      <w:r>
        <w:rPr>
          <w:b/>
          <w:bCs/>
        </w:rPr>
        <w:t xml:space="preserve"> 70</w:t>
      </w:r>
      <w:r w:rsidRPr="004E344E">
        <w:rPr>
          <w:b/>
          <w:bCs/>
        </w:rPr>
        <w:t>%</w:t>
      </w:r>
    </w:p>
    <w:p w14:paraId="0A797EFA" w14:textId="77777777" w:rsidR="00683620" w:rsidRPr="004E344E" w:rsidRDefault="00683620" w:rsidP="00683620">
      <w:pPr>
        <w:pStyle w:val="ListParagraph"/>
        <w:numPr>
          <w:ilvl w:val="0"/>
          <w:numId w:val="17"/>
        </w:numPr>
      </w:pPr>
      <w:r w:rsidRPr="004E344E">
        <w:t>Numerator 4: ED length of stay (LOS) &gt; 8hrs</w:t>
      </w:r>
    </w:p>
    <w:p w14:paraId="7208EDD2" w14:textId="77777777" w:rsidR="00683620" w:rsidRDefault="00683620" w:rsidP="00683620">
      <w:pPr>
        <w:pStyle w:val="ListParagraph"/>
        <w:numPr>
          <w:ilvl w:val="1"/>
          <w:numId w:val="17"/>
        </w:numPr>
        <w:spacing w:after="0"/>
        <w:rPr>
          <w:b/>
          <w:bCs/>
        </w:rPr>
      </w:pPr>
      <w:r w:rsidRPr="004E344E">
        <w:rPr>
          <w:b/>
          <w:bCs/>
        </w:rPr>
        <w:t xml:space="preserve">Observed percentage: </w:t>
      </w:r>
      <w:r>
        <w:rPr>
          <w:b/>
          <w:bCs/>
        </w:rPr>
        <w:t>70</w:t>
      </w:r>
      <w:r w:rsidRPr="004E344E">
        <w:rPr>
          <w:b/>
          <w:bCs/>
        </w:rPr>
        <w:t>%</w:t>
      </w:r>
    </w:p>
    <w:p w14:paraId="5B98898C" w14:textId="77777777" w:rsidR="00683620" w:rsidRPr="00FD3B79" w:rsidRDefault="00683620" w:rsidP="00683620">
      <w:pPr>
        <w:ind w:left="720"/>
        <w:rPr>
          <w:i/>
          <w:iCs/>
          <w:sz w:val="20"/>
          <w:szCs w:val="20"/>
        </w:rPr>
      </w:pPr>
      <w:r w:rsidRPr="004E344E">
        <w:rPr>
          <w:i/>
          <w:iCs/>
          <w:sz w:val="20"/>
          <w:szCs w:val="20"/>
        </w:rPr>
        <w:t>*Some visits may result in multiple access failures in multiple numerator categories, therefore percentages listed above may not equal the total listed above</w:t>
      </w:r>
      <w:r>
        <w:rPr>
          <w:i/>
          <w:iCs/>
          <w:sz w:val="20"/>
          <w:szCs w:val="20"/>
        </w:rPr>
        <w:t>.</w:t>
      </w:r>
    </w:p>
    <w:p w14:paraId="05E1AE3C" w14:textId="2EC678E1" w:rsidR="00683620" w:rsidRPr="003E46E0" w:rsidRDefault="00683620" w:rsidP="00683620">
      <w:pPr>
        <w:spacing w:after="0"/>
        <w:rPr>
          <w:highlight w:val="lightGray"/>
        </w:rPr>
      </w:pPr>
      <w:r>
        <w:rPr>
          <w:noProof/>
        </w:rPr>
        <w:drawing>
          <wp:inline distT="0" distB="0" distL="0" distR="0" wp14:anchorId="4BF1DD75" wp14:editId="338A2B50">
            <wp:extent cx="5943600" cy="1003300"/>
            <wp:effectExtent l="19050" t="0" r="19050" b="6350"/>
            <wp:docPr id="517571218"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r>
        <w:t xml:space="preserve">For Pediatric, </w:t>
      </w:r>
      <w:r w:rsidR="00A236E0">
        <w:t>Mental</w:t>
      </w:r>
      <w:r>
        <w:t xml:space="preserve"> Health:</w:t>
      </w:r>
    </w:p>
    <w:p w14:paraId="3DE5D644" w14:textId="77777777" w:rsidR="00683620" w:rsidRPr="004E344E" w:rsidRDefault="00683620" w:rsidP="00683620">
      <w:pPr>
        <w:pStyle w:val="ListParagraph"/>
        <w:numPr>
          <w:ilvl w:val="0"/>
          <w:numId w:val="19"/>
        </w:numPr>
      </w:pPr>
      <w:r w:rsidRPr="004E344E">
        <w:t>Numerator 1: Waited &gt; 1hr</w:t>
      </w:r>
    </w:p>
    <w:p w14:paraId="3559B776" w14:textId="77777777" w:rsidR="00683620" w:rsidRPr="004E344E" w:rsidRDefault="00683620" w:rsidP="00683620">
      <w:pPr>
        <w:pStyle w:val="ListParagraph"/>
        <w:numPr>
          <w:ilvl w:val="1"/>
          <w:numId w:val="19"/>
        </w:numPr>
        <w:rPr>
          <w:b/>
          <w:bCs/>
        </w:rPr>
      </w:pPr>
      <w:r w:rsidRPr="004E344E">
        <w:rPr>
          <w:b/>
          <w:bCs/>
        </w:rPr>
        <w:t xml:space="preserve">Observed percentage: </w:t>
      </w:r>
      <w:r>
        <w:rPr>
          <w:b/>
          <w:bCs/>
        </w:rPr>
        <w:t>1</w:t>
      </w:r>
      <w:r w:rsidRPr="004E344E">
        <w:rPr>
          <w:b/>
          <w:bCs/>
        </w:rPr>
        <w:t>%</w:t>
      </w:r>
    </w:p>
    <w:p w14:paraId="4DDFEBA7" w14:textId="77777777" w:rsidR="00683620" w:rsidRPr="004E344E" w:rsidRDefault="00683620" w:rsidP="00683620">
      <w:pPr>
        <w:pStyle w:val="ListParagraph"/>
        <w:numPr>
          <w:ilvl w:val="0"/>
          <w:numId w:val="19"/>
        </w:numPr>
      </w:pPr>
      <w:r w:rsidRPr="004E344E">
        <w:t>Numerator 2: Left the ED without being evaluated</w:t>
      </w:r>
    </w:p>
    <w:p w14:paraId="226051F1" w14:textId="77777777" w:rsidR="00683620" w:rsidRPr="004E344E" w:rsidRDefault="00683620" w:rsidP="00683620">
      <w:pPr>
        <w:pStyle w:val="ListParagraph"/>
        <w:numPr>
          <w:ilvl w:val="1"/>
          <w:numId w:val="19"/>
        </w:numPr>
        <w:rPr>
          <w:b/>
          <w:bCs/>
        </w:rPr>
      </w:pPr>
      <w:r w:rsidRPr="004E344E">
        <w:rPr>
          <w:b/>
          <w:bCs/>
        </w:rPr>
        <w:t xml:space="preserve">Observed percentage: </w:t>
      </w:r>
      <w:r>
        <w:rPr>
          <w:b/>
          <w:bCs/>
        </w:rPr>
        <w:t>0</w:t>
      </w:r>
      <w:r w:rsidRPr="004E344E">
        <w:rPr>
          <w:b/>
          <w:bCs/>
        </w:rPr>
        <w:t>%</w:t>
      </w:r>
    </w:p>
    <w:p w14:paraId="64345015" w14:textId="7575B825" w:rsidR="00683620" w:rsidRPr="004E344E" w:rsidRDefault="00683620" w:rsidP="00683620">
      <w:pPr>
        <w:pStyle w:val="ListParagraph"/>
        <w:numPr>
          <w:ilvl w:val="0"/>
          <w:numId w:val="19"/>
        </w:numPr>
        <w:rPr>
          <w:i/>
        </w:rPr>
      </w:pPr>
      <w:r w:rsidRPr="004E344E">
        <w:t>Numerator 3: Boarded &gt; 4hrs</w:t>
      </w:r>
    </w:p>
    <w:p w14:paraId="45F1250C" w14:textId="77777777" w:rsidR="00683620" w:rsidRPr="004E344E" w:rsidRDefault="00683620" w:rsidP="00683620">
      <w:pPr>
        <w:pStyle w:val="ListParagraph"/>
        <w:numPr>
          <w:ilvl w:val="1"/>
          <w:numId w:val="19"/>
        </w:numPr>
        <w:rPr>
          <w:b/>
          <w:bCs/>
          <w:i/>
        </w:rPr>
      </w:pPr>
      <w:r w:rsidRPr="004E344E">
        <w:rPr>
          <w:b/>
          <w:bCs/>
        </w:rPr>
        <w:t>Observed percentage:</w:t>
      </w:r>
      <w:r>
        <w:rPr>
          <w:b/>
          <w:bCs/>
        </w:rPr>
        <w:t xml:space="preserve"> 70</w:t>
      </w:r>
      <w:r w:rsidRPr="004E344E">
        <w:rPr>
          <w:b/>
          <w:bCs/>
        </w:rPr>
        <w:t>%</w:t>
      </w:r>
    </w:p>
    <w:p w14:paraId="4F271B05" w14:textId="77777777" w:rsidR="00683620" w:rsidRPr="004E344E" w:rsidRDefault="00683620" w:rsidP="00683620">
      <w:pPr>
        <w:pStyle w:val="ListParagraph"/>
        <w:numPr>
          <w:ilvl w:val="0"/>
          <w:numId w:val="19"/>
        </w:numPr>
      </w:pPr>
      <w:r w:rsidRPr="004E344E">
        <w:t>Numerator 4: ED length of stay (LOS) &gt; 8hrs</w:t>
      </w:r>
    </w:p>
    <w:p w14:paraId="2A446A9B" w14:textId="77777777" w:rsidR="00683620" w:rsidRDefault="00683620" w:rsidP="00683620">
      <w:pPr>
        <w:pStyle w:val="ListParagraph"/>
        <w:numPr>
          <w:ilvl w:val="1"/>
          <w:numId w:val="19"/>
        </w:numPr>
        <w:spacing w:after="0"/>
        <w:rPr>
          <w:b/>
          <w:bCs/>
        </w:rPr>
      </w:pPr>
      <w:r w:rsidRPr="004E344E">
        <w:rPr>
          <w:b/>
          <w:bCs/>
        </w:rPr>
        <w:t xml:space="preserve">Observed percentage: </w:t>
      </w:r>
      <w:r>
        <w:rPr>
          <w:b/>
          <w:bCs/>
        </w:rPr>
        <w:t>70</w:t>
      </w:r>
      <w:r w:rsidRPr="004E344E">
        <w:rPr>
          <w:b/>
          <w:bCs/>
        </w:rPr>
        <w:t>%</w:t>
      </w:r>
    </w:p>
    <w:p w14:paraId="1DBA8358" w14:textId="77777777" w:rsidR="00683620" w:rsidRPr="003E46E0" w:rsidRDefault="00683620" w:rsidP="00683620">
      <w:pPr>
        <w:ind w:left="720"/>
        <w:rPr>
          <w:i/>
          <w:iCs/>
          <w:sz w:val="20"/>
          <w:szCs w:val="20"/>
        </w:rPr>
      </w:pPr>
      <w:r w:rsidRPr="004E344E">
        <w:rPr>
          <w:i/>
          <w:iCs/>
          <w:sz w:val="20"/>
          <w:szCs w:val="20"/>
        </w:rPr>
        <w:t>*Some visits may result in multiple access failures in multiple numerator categories, therefore percentages listed above may not equal the total listed above</w:t>
      </w:r>
      <w:r>
        <w:rPr>
          <w:i/>
          <w:iCs/>
          <w:sz w:val="20"/>
          <w:szCs w:val="20"/>
        </w:rPr>
        <w:t>.</w:t>
      </w:r>
    </w:p>
    <w:p w14:paraId="174D81F1" w14:textId="2C8729DF" w:rsidR="00683620" w:rsidRPr="003E46E0" w:rsidRDefault="00683620" w:rsidP="00683620">
      <w:pPr>
        <w:spacing w:after="0"/>
        <w:rPr>
          <w:highlight w:val="lightGray"/>
        </w:rPr>
      </w:pPr>
      <w:r>
        <w:rPr>
          <w:noProof/>
        </w:rPr>
        <w:drawing>
          <wp:inline distT="0" distB="0" distL="0" distR="0" wp14:anchorId="0DF8470A" wp14:editId="630ED316">
            <wp:extent cx="5943600" cy="971550"/>
            <wp:effectExtent l="19050" t="19050" r="19050" b="0"/>
            <wp:docPr id="1661087158"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r>
        <w:t>For Pediatric, Non-</w:t>
      </w:r>
      <w:r w:rsidR="00A236E0">
        <w:t>Mental</w:t>
      </w:r>
      <w:r>
        <w:t xml:space="preserve"> Health:</w:t>
      </w:r>
    </w:p>
    <w:p w14:paraId="137EAC28" w14:textId="77777777" w:rsidR="00683620" w:rsidRPr="004E344E" w:rsidRDefault="00683620" w:rsidP="00683620">
      <w:pPr>
        <w:pStyle w:val="ListParagraph"/>
        <w:numPr>
          <w:ilvl w:val="0"/>
          <w:numId w:val="18"/>
        </w:numPr>
      </w:pPr>
      <w:r w:rsidRPr="004E344E">
        <w:t>Numerator 1: Waited &gt; 1hr</w:t>
      </w:r>
    </w:p>
    <w:p w14:paraId="7D9F3772" w14:textId="77777777" w:rsidR="00683620" w:rsidRPr="004E344E" w:rsidRDefault="00683620" w:rsidP="00683620">
      <w:pPr>
        <w:pStyle w:val="ListParagraph"/>
        <w:numPr>
          <w:ilvl w:val="1"/>
          <w:numId w:val="18"/>
        </w:numPr>
        <w:rPr>
          <w:b/>
          <w:bCs/>
        </w:rPr>
      </w:pPr>
      <w:r w:rsidRPr="004E344E">
        <w:rPr>
          <w:b/>
          <w:bCs/>
        </w:rPr>
        <w:t xml:space="preserve">Observed percentage: </w:t>
      </w:r>
      <w:r>
        <w:rPr>
          <w:b/>
          <w:bCs/>
        </w:rPr>
        <w:t>2</w:t>
      </w:r>
      <w:r w:rsidRPr="004E344E">
        <w:rPr>
          <w:b/>
          <w:bCs/>
        </w:rPr>
        <w:t>%</w:t>
      </w:r>
    </w:p>
    <w:p w14:paraId="601F041A" w14:textId="77777777" w:rsidR="00683620" w:rsidRPr="004E344E" w:rsidRDefault="00683620" w:rsidP="00683620">
      <w:pPr>
        <w:pStyle w:val="ListParagraph"/>
        <w:numPr>
          <w:ilvl w:val="0"/>
          <w:numId w:val="18"/>
        </w:numPr>
      </w:pPr>
      <w:r w:rsidRPr="004E344E">
        <w:t>Numerator 2: Left the ED without being evaluated</w:t>
      </w:r>
    </w:p>
    <w:p w14:paraId="20ED44AB" w14:textId="77777777" w:rsidR="00683620" w:rsidRPr="004E344E" w:rsidRDefault="00683620" w:rsidP="00683620">
      <w:pPr>
        <w:pStyle w:val="ListParagraph"/>
        <w:numPr>
          <w:ilvl w:val="1"/>
          <w:numId w:val="18"/>
        </w:numPr>
        <w:rPr>
          <w:b/>
          <w:bCs/>
        </w:rPr>
      </w:pPr>
      <w:r w:rsidRPr="004E344E">
        <w:rPr>
          <w:b/>
          <w:bCs/>
        </w:rPr>
        <w:t xml:space="preserve">Observed percentage: </w:t>
      </w:r>
      <w:r>
        <w:rPr>
          <w:b/>
          <w:bCs/>
        </w:rPr>
        <w:t>0</w:t>
      </w:r>
      <w:r w:rsidRPr="004E344E">
        <w:rPr>
          <w:b/>
          <w:bCs/>
        </w:rPr>
        <w:t>%</w:t>
      </w:r>
    </w:p>
    <w:p w14:paraId="49702B30" w14:textId="54F27B6C" w:rsidR="00683620" w:rsidRPr="004E344E" w:rsidRDefault="00683620" w:rsidP="00683620">
      <w:pPr>
        <w:pStyle w:val="ListParagraph"/>
        <w:numPr>
          <w:ilvl w:val="0"/>
          <w:numId w:val="18"/>
        </w:numPr>
        <w:rPr>
          <w:i/>
        </w:rPr>
      </w:pPr>
      <w:r w:rsidRPr="004E344E">
        <w:t>Numerator 3: Boarded &gt; 4hrs</w:t>
      </w:r>
    </w:p>
    <w:p w14:paraId="6F35ACD2" w14:textId="77777777" w:rsidR="00683620" w:rsidRPr="004E344E" w:rsidRDefault="00683620" w:rsidP="00683620">
      <w:pPr>
        <w:pStyle w:val="ListParagraph"/>
        <w:numPr>
          <w:ilvl w:val="1"/>
          <w:numId w:val="18"/>
        </w:numPr>
        <w:rPr>
          <w:b/>
          <w:bCs/>
          <w:i/>
        </w:rPr>
      </w:pPr>
      <w:r w:rsidRPr="004E344E">
        <w:rPr>
          <w:b/>
          <w:bCs/>
        </w:rPr>
        <w:t>Observed percentage:</w:t>
      </w:r>
      <w:r>
        <w:rPr>
          <w:b/>
          <w:bCs/>
        </w:rPr>
        <w:t xml:space="preserve"> 5</w:t>
      </w:r>
      <w:r w:rsidRPr="004E344E">
        <w:rPr>
          <w:b/>
          <w:bCs/>
        </w:rPr>
        <w:t>%</w:t>
      </w:r>
    </w:p>
    <w:p w14:paraId="7933F311" w14:textId="77777777" w:rsidR="00683620" w:rsidRPr="004E344E" w:rsidRDefault="00683620" w:rsidP="00683620">
      <w:pPr>
        <w:pStyle w:val="ListParagraph"/>
        <w:numPr>
          <w:ilvl w:val="0"/>
          <w:numId w:val="18"/>
        </w:numPr>
      </w:pPr>
      <w:r w:rsidRPr="004E344E">
        <w:t>Numerator 4: ED length of stay (LOS) &gt; 8hrs</w:t>
      </w:r>
    </w:p>
    <w:p w14:paraId="5900B9E7" w14:textId="77777777" w:rsidR="00683620" w:rsidRDefault="00683620" w:rsidP="00683620">
      <w:pPr>
        <w:pStyle w:val="ListParagraph"/>
        <w:numPr>
          <w:ilvl w:val="1"/>
          <w:numId w:val="18"/>
        </w:numPr>
        <w:spacing w:after="0"/>
        <w:rPr>
          <w:b/>
          <w:bCs/>
        </w:rPr>
      </w:pPr>
      <w:r w:rsidRPr="004E344E">
        <w:rPr>
          <w:b/>
          <w:bCs/>
        </w:rPr>
        <w:t xml:space="preserve">Observed percentage: </w:t>
      </w:r>
      <w:r>
        <w:rPr>
          <w:b/>
          <w:bCs/>
        </w:rPr>
        <w:t>1</w:t>
      </w:r>
      <w:r w:rsidRPr="004E344E">
        <w:rPr>
          <w:b/>
          <w:bCs/>
        </w:rPr>
        <w:t>%</w:t>
      </w:r>
    </w:p>
    <w:p w14:paraId="44F45C21" w14:textId="0BE8ADF6" w:rsidR="00683620" w:rsidRDefault="00683620" w:rsidP="00683620">
      <w:r w:rsidRPr="004E344E">
        <w:rPr>
          <w:i/>
          <w:iCs/>
          <w:sz w:val="20"/>
          <w:szCs w:val="20"/>
        </w:rPr>
        <w:t>*Some visits may result in multiple access failures in multiple numerator categories, therefore percentages listed above may not equal the total listed above</w:t>
      </w:r>
      <w:r>
        <w:rPr>
          <w:i/>
          <w:iCs/>
          <w:sz w:val="20"/>
          <w:szCs w:val="20"/>
        </w:rPr>
        <w:t>.</w:t>
      </w:r>
    </w:p>
    <w:p w14:paraId="126E3214" w14:textId="77777777" w:rsidR="00F81C0F" w:rsidRDefault="00F81C0F"/>
    <w:sectPr w:rsidR="00F81C0F" w:rsidSect="007977F8">
      <w:footerReference w:type="default" r:id="rId36"/>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FDD30" w14:textId="77777777" w:rsidR="00D521C8" w:rsidRDefault="00D521C8" w:rsidP="00306C4F">
      <w:pPr>
        <w:spacing w:after="0" w:line="240" w:lineRule="auto"/>
      </w:pPr>
      <w:r>
        <w:separator/>
      </w:r>
    </w:p>
  </w:endnote>
  <w:endnote w:type="continuationSeparator" w:id="0">
    <w:p w14:paraId="420707E5" w14:textId="77777777" w:rsidR="00D521C8" w:rsidRDefault="00D521C8" w:rsidP="00306C4F">
      <w:pPr>
        <w:spacing w:after="0" w:line="240" w:lineRule="auto"/>
      </w:pPr>
      <w:r>
        <w:continuationSeparator/>
      </w:r>
    </w:p>
  </w:endnote>
  <w:endnote w:type="continuationNotice" w:id="1">
    <w:p w14:paraId="3D22587E" w14:textId="77777777" w:rsidR="00D521C8" w:rsidRDefault="00D521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9C759" w14:textId="418C14A5" w:rsidR="00306C4F" w:rsidRDefault="00306C4F">
    <w:pPr>
      <w:pStyle w:val="Footer"/>
    </w:pPr>
    <w:r>
      <w:t>DRAFT SPECIFICATIONS</w:t>
    </w:r>
  </w:p>
  <w:p w14:paraId="4678F345" w14:textId="4B609A0C" w:rsidR="00306C4F" w:rsidRDefault="00306C4F">
    <w:pPr>
      <w:pStyle w:val="Footer"/>
    </w:pPr>
    <w:r>
      <w:t xml:space="preserve">UPDATED </w:t>
    </w:r>
    <w:r w:rsidR="000C4464">
      <w:t>8</w:t>
    </w:r>
    <w:r w:rsidR="00E32206">
      <w:t>/1</w:t>
    </w:r>
    <w:r w:rsidR="000C4464">
      <w:t>4</w:t>
    </w:r>
    <w:r w:rsidR="00E32206">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D57C2" w14:textId="77777777" w:rsidR="00D521C8" w:rsidRDefault="00D521C8" w:rsidP="00306C4F">
      <w:pPr>
        <w:spacing w:after="0" w:line="240" w:lineRule="auto"/>
      </w:pPr>
      <w:r>
        <w:separator/>
      </w:r>
    </w:p>
  </w:footnote>
  <w:footnote w:type="continuationSeparator" w:id="0">
    <w:p w14:paraId="630AB255" w14:textId="77777777" w:rsidR="00D521C8" w:rsidRDefault="00D521C8" w:rsidP="00306C4F">
      <w:pPr>
        <w:spacing w:after="0" w:line="240" w:lineRule="auto"/>
      </w:pPr>
      <w:r>
        <w:continuationSeparator/>
      </w:r>
    </w:p>
  </w:footnote>
  <w:footnote w:type="continuationNotice" w:id="1">
    <w:p w14:paraId="374DFB98" w14:textId="77777777" w:rsidR="00D521C8" w:rsidRDefault="00D521C8">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OsvkOEQc8G1a8V" int2:id="QPLoVKG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A6262"/>
    <w:multiLevelType w:val="hybridMultilevel"/>
    <w:tmpl w:val="D9C05C3C"/>
    <w:lvl w:ilvl="0" w:tplc="FFFFFFFF">
      <w:start w:val="1"/>
      <w:numFmt w:val="decimal"/>
      <w:lvlText w:val="%1."/>
      <w:lvlJc w:val="left"/>
      <w:pPr>
        <w:ind w:left="1080" w:hanging="360"/>
      </w:pPr>
      <w:rPr>
        <w:i w:val="0"/>
        <w:iCs w:val="0"/>
      </w:rPr>
    </w:lvl>
    <w:lvl w:ilvl="1" w:tplc="FFFFFFFF">
      <w:start w:val="2"/>
      <w:numFmt w:val="bullet"/>
      <w:lvlText w:val=""/>
      <w:lvlJc w:val="left"/>
      <w:pPr>
        <w:ind w:left="1800" w:hanging="360"/>
      </w:pPr>
      <w:rPr>
        <w:rFonts w:ascii="Symbol" w:eastAsiaTheme="minorHAnsi" w:hAnsi="Symbol" w:cstheme="minorBidi" w:hint="default"/>
        <w:i w:val="0"/>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5EC4D18"/>
    <w:multiLevelType w:val="hybridMultilevel"/>
    <w:tmpl w:val="CB700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E5E54"/>
    <w:multiLevelType w:val="hybridMultilevel"/>
    <w:tmpl w:val="FB6E4574"/>
    <w:lvl w:ilvl="0" w:tplc="EEFCF63A">
      <w:start w:val="1"/>
      <w:numFmt w:val="decimal"/>
      <w:lvlText w:val="%1."/>
      <w:lvlJc w:val="left"/>
      <w:pPr>
        <w:ind w:left="1020" w:hanging="360"/>
      </w:pPr>
    </w:lvl>
    <w:lvl w:ilvl="1" w:tplc="D506DDAA">
      <w:start w:val="1"/>
      <w:numFmt w:val="decimal"/>
      <w:lvlText w:val="%2."/>
      <w:lvlJc w:val="left"/>
      <w:pPr>
        <w:ind w:left="1020" w:hanging="360"/>
      </w:pPr>
    </w:lvl>
    <w:lvl w:ilvl="2" w:tplc="7AC07ADA">
      <w:start w:val="1"/>
      <w:numFmt w:val="decimal"/>
      <w:lvlText w:val="%3."/>
      <w:lvlJc w:val="left"/>
      <w:pPr>
        <w:ind w:left="1020" w:hanging="360"/>
      </w:pPr>
    </w:lvl>
    <w:lvl w:ilvl="3" w:tplc="992A9032">
      <w:start w:val="1"/>
      <w:numFmt w:val="decimal"/>
      <w:lvlText w:val="%4."/>
      <w:lvlJc w:val="left"/>
      <w:pPr>
        <w:ind w:left="1020" w:hanging="360"/>
      </w:pPr>
    </w:lvl>
    <w:lvl w:ilvl="4" w:tplc="63B48BAC">
      <w:start w:val="1"/>
      <w:numFmt w:val="decimal"/>
      <w:lvlText w:val="%5."/>
      <w:lvlJc w:val="left"/>
      <w:pPr>
        <w:ind w:left="1020" w:hanging="360"/>
      </w:pPr>
    </w:lvl>
    <w:lvl w:ilvl="5" w:tplc="C4B01EA8">
      <w:start w:val="1"/>
      <w:numFmt w:val="decimal"/>
      <w:lvlText w:val="%6."/>
      <w:lvlJc w:val="left"/>
      <w:pPr>
        <w:ind w:left="1020" w:hanging="360"/>
      </w:pPr>
    </w:lvl>
    <w:lvl w:ilvl="6" w:tplc="7E88C964">
      <w:start w:val="1"/>
      <w:numFmt w:val="decimal"/>
      <w:lvlText w:val="%7."/>
      <w:lvlJc w:val="left"/>
      <w:pPr>
        <w:ind w:left="1020" w:hanging="360"/>
      </w:pPr>
    </w:lvl>
    <w:lvl w:ilvl="7" w:tplc="7B2A6F40">
      <w:start w:val="1"/>
      <w:numFmt w:val="decimal"/>
      <w:lvlText w:val="%8."/>
      <w:lvlJc w:val="left"/>
      <w:pPr>
        <w:ind w:left="1020" w:hanging="360"/>
      </w:pPr>
    </w:lvl>
    <w:lvl w:ilvl="8" w:tplc="4264461C">
      <w:start w:val="1"/>
      <w:numFmt w:val="decimal"/>
      <w:lvlText w:val="%9."/>
      <w:lvlJc w:val="left"/>
      <w:pPr>
        <w:ind w:left="1020" w:hanging="360"/>
      </w:pPr>
    </w:lvl>
  </w:abstractNum>
  <w:abstractNum w:abstractNumId="3" w15:restartNumberingAfterBreak="0">
    <w:nsid w:val="14DD1816"/>
    <w:multiLevelType w:val="hybridMultilevel"/>
    <w:tmpl w:val="54D83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802C01"/>
    <w:multiLevelType w:val="hybridMultilevel"/>
    <w:tmpl w:val="9EFEF6FA"/>
    <w:lvl w:ilvl="0" w:tplc="9EC46EF8">
      <w:start w:val="1"/>
      <w:numFmt w:val="decimal"/>
      <w:lvlText w:val="%1."/>
      <w:lvlJc w:val="left"/>
      <w:pPr>
        <w:ind w:left="1020" w:hanging="360"/>
      </w:pPr>
    </w:lvl>
    <w:lvl w:ilvl="1" w:tplc="881AB3D6">
      <w:start w:val="1"/>
      <w:numFmt w:val="decimal"/>
      <w:lvlText w:val="%2."/>
      <w:lvlJc w:val="left"/>
      <w:pPr>
        <w:ind w:left="1020" w:hanging="360"/>
      </w:pPr>
    </w:lvl>
    <w:lvl w:ilvl="2" w:tplc="9B0ED95C">
      <w:start w:val="1"/>
      <w:numFmt w:val="decimal"/>
      <w:lvlText w:val="%3."/>
      <w:lvlJc w:val="left"/>
      <w:pPr>
        <w:ind w:left="1020" w:hanging="360"/>
      </w:pPr>
    </w:lvl>
    <w:lvl w:ilvl="3" w:tplc="26CA9BDA">
      <w:start w:val="1"/>
      <w:numFmt w:val="decimal"/>
      <w:lvlText w:val="%4."/>
      <w:lvlJc w:val="left"/>
      <w:pPr>
        <w:ind w:left="1020" w:hanging="360"/>
      </w:pPr>
    </w:lvl>
    <w:lvl w:ilvl="4" w:tplc="62886FF6">
      <w:start w:val="1"/>
      <w:numFmt w:val="decimal"/>
      <w:lvlText w:val="%5."/>
      <w:lvlJc w:val="left"/>
      <w:pPr>
        <w:ind w:left="1020" w:hanging="360"/>
      </w:pPr>
    </w:lvl>
    <w:lvl w:ilvl="5" w:tplc="C13814A4">
      <w:start w:val="1"/>
      <w:numFmt w:val="decimal"/>
      <w:lvlText w:val="%6."/>
      <w:lvlJc w:val="left"/>
      <w:pPr>
        <w:ind w:left="1020" w:hanging="360"/>
      </w:pPr>
    </w:lvl>
    <w:lvl w:ilvl="6" w:tplc="1F4E6834">
      <w:start w:val="1"/>
      <w:numFmt w:val="decimal"/>
      <w:lvlText w:val="%7."/>
      <w:lvlJc w:val="left"/>
      <w:pPr>
        <w:ind w:left="1020" w:hanging="360"/>
      </w:pPr>
    </w:lvl>
    <w:lvl w:ilvl="7" w:tplc="14349396">
      <w:start w:val="1"/>
      <w:numFmt w:val="decimal"/>
      <w:lvlText w:val="%8."/>
      <w:lvlJc w:val="left"/>
      <w:pPr>
        <w:ind w:left="1020" w:hanging="360"/>
      </w:pPr>
    </w:lvl>
    <w:lvl w:ilvl="8" w:tplc="6922AE30">
      <w:start w:val="1"/>
      <w:numFmt w:val="decimal"/>
      <w:lvlText w:val="%9."/>
      <w:lvlJc w:val="left"/>
      <w:pPr>
        <w:ind w:left="1020" w:hanging="360"/>
      </w:pPr>
    </w:lvl>
  </w:abstractNum>
  <w:abstractNum w:abstractNumId="5" w15:restartNumberingAfterBreak="0">
    <w:nsid w:val="2FC66C18"/>
    <w:multiLevelType w:val="hybridMultilevel"/>
    <w:tmpl w:val="D9C05C3C"/>
    <w:lvl w:ilvl="0" w:tplc="E7B47B90">
      <w:start w:val="1"/>
      <w:numFmt w:val="decimal"/>
      <w:lvlText w:val="%1."/>
      <w:lvlJc w:val="left"/>
      <w:pPr>
        <w:ind w:left="720" w:hanging="360"/>
      </w:pPr>
      <w:rPr>
        <w:i w:val="0"/>
        <w:iCs w:val="0"/>
      </w:rPr>
    </w:lvl>
    <w:lvl w:ilvl="1" w:tplc="53461E6A">
      <w:start w:val="2"/>
      <w:numFmt w:val="bullet"/>
      <w:lvlText w:val=""/>
      <w:lvlJc w:val="left"/>
      <w:pPr>
        <w:ind w:left="1440" w:hanging="360"/>
      </w:pPr>
      <w:rPr>
        <w:rFonts w:ascii="Symbol" w:eastAsiaTheme="minorHAnsi" w:hAnsi="Symbol" w:cstheme="minorBidi"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D75970"/>
    <w:multiLevelType w:val="hybridMultilevel"/>
    <w:tmpl w:val="E268622A"/>
    <w:lvl w:ilvl="0" w:tplc="7F74E978">
      <w:start w:val="1"/>
      <w:numFmt w:val="decimal"/>
      <w:lvlText w:val="%1)"/>
      <w:lvlJc w:val="left"/>
      <w:pPr>
        <w:ind w:left="1020" w:hanging="360"/>
      </w:pPr>
    </w:lvl>
    <w:lvl w:ilvl="1" w:tplc="530A3AD0">
      <w:start w:val="1"/>
      <w:numFmt w:val="decimal"/>
      <w:lvlText w:val="%2)"/>
      <w:lvlJc w:val="left"/>
      <w:pPr>
        <w:ind w:left="1020" w:hanging="360"/>
      </w:pPr>
    </w:lvl>
    <w:lvl w:ilvl="2" w:tplc="B170C1BE">
      <w:start w:val="1"/>
      <w:numFmt w:val="decimal"/>
      <w:lvlText w:val="%3)"/>
      <w:lvlJc w:val="left"/>
      <w:pPr>
        <w:ind w:left="1020" w:hanging="360"/>
      </w:pPr>
    </w:lvl>
    <w:lvl w:ilvl="3" w:tplc="105CF5EC">
      <w:start w:val="1"/>
      <w:numFmt w:val="decimal"/>
      <w:lvlText w:val="%4)"/>
      <w:lvlJc w:val="left"/>
      <w:pPr>
        <w:ind w:left="1020" w:hanging="360"/>
      </w:pPr>
    </w:lvl>
    <w:lvl w:ilvl="4" w:tplc="E3EA497E">
      <w:start w:val="1"/>
      <w:numFmt w:val="decimal"/>
      <w:lvlText w:val="%5)"/>
      <w:lvlJc w:val="left"/>
      <w:pPr>
        <w:ind w:left="1020" w:hanging="360"/>
      </w:pPr>
    </w:lvl>
    <w:lvl w:ilvl="5" w:tplc="DC5EBAD8">
      <w:start w:val="1"/>
      <w:numFmt w:val="decimal"/>
      <w:lvlText w:val="%6)"/>
      <w:lvlJc w:val="left"/>
      <w:pPr>
        <w:ind w:left="1020" w:hanging="360"/>
      </w:pPr>
    </w:lvl>
    <w:lvl w:ilvl="6" w:tplc="7422D2CA">
      <w:start w:val="1"/>
      <w:numFmt w:val="decimal"/>
      <w:lvlText w:val="%7)"/>
      <w:lvlJc w:val="left"/>
      <w:pPr>
        <w:ind w:left="1020" w:hanging="360"/>
      </w:pPr>
    </w:lvl>
    <w:lvl w:ilvl="7" w:tplc="4CD292E4">
      <w:start w:val="1"/>
      <w:numFmt w:val="decimal"/>
      <w:lvlText w:val="%8)"/>
      <w:lvlJc w:val="left"/>
      <w:pPr>
        <w:ind w:left="1020" w:hanging="360"/>
      </w:pPr>
    </w:lvl>
    <w:lvl w:ilvl="8" w:tplc="CFCEB9A0">
      <w:start w:val="1"/>
      <w:numFmt w:val="decimal"/>
      <w:lvlText w:val="%9)"/>
      <w:lvlJc w:val="left"/>
      <w:pPr>
        <w:ind w:left="1020" w:hanging="360"/>
      </w:pPr>
    </w:lvl>
  </w:abstractNum>
  <w:abstractNum w:abstractNumId="7" w15:restartNumberingAfterBreak="0">
    <w:nsid w:val="33BE454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E161C72"/>
    <w:multiLevelType w:val="hybridMultilevel"/>
    <w:tmpl w:val="154C8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194ABC"/>
    <w:multiLevelType w:val="hybridMultilevel"/>
    <w:tmpl w:val="880CD15E"/>
    <w:lvl w:ilvl="0" w:tplc="AA783740">
      <w:start w:val="1"/>
      <w:numFmt w:val="decimal"/>
      <w:lvlText w:val="%1."/>
      <w:lvlJc w:val="left"/>
      <w:pPr>
        <w:ind w:left="1440" w:hanging="360"/>
      </w:pPr>
    </w:lvl>
    <w:lvl w:ilvl="1" w:tplc="FF82A612">
      <w:start w:val="1"/>
      <w:numFmt w:val="decimal"/>
      <w:lvlText w:val="%2."/>
      <w:lvlJc w:val="left"/>
      <w:pPr>
        <w:ind w:left="1440" w:hanging="360"/>
      </w:pPr>
    </w:lvl>
    <w:lvl w:ilvl="2" w:tplc="6FF2355E">
      <w:start w:val="1"/>
      <w:numFmt w:val="decimal"/>
      <w:lvlText w:val="%3."/>
      <w:lvlJc w:val="left"/>
      <w:pPr>
        <w:ind w:left="1440" w:hanging="360"/>
      </w:pPr>
    </w:lvl>
    <w:lvl w:ilvl="3" w:tplc="E0D85388">
      <w:start w:val="1"/>
      <w:numFmt w:val="decimal"/>
      <w:lvlText w:val="%4."/>
      <w:lvlJc w:val="left"/>
      <w:pPr>
        <w:ind w:left="1440" w:hanging="360"/>
      </w:pPr>
    </w:lvl>
    <w:lvl w:ilvl="4" w:tplc="111CC7A4">
      <w:start w:val="1"/>
      <w:numFmt w:val="decimal"/>
      <w:lvlText w:val="%5."/>
      <w:lvlJc w:val="left"/>
      <w:pPr>
        <w:ind w:left="1440" w:hanging="360"/>
      </w:pPr>
    </w:lvl>
    <w:lvl w:ilvl="5" w:tplc="63CCE2FA">
      <w:start w:val="1"/>
      <w:numFmt w:val="decimal"/>
      <w:lvlText w:val="%6."/>
      <w:lvlJc w:val="left"/>
      <w:pPr>
        <w:ind w:left="1440" w:hanging="360"/>
      </w:pPr>
    </w:lvl>
    <w:lvl w:ilvl="6" w:tplc="0C404208">
      <w:start w:val="1"/>
      <w:numFmt w:val="decimal"/>
      <w:lvlText w:val="%7."/>
      <w:lvlJc w:val="left"/>
      <w:pPr>
        <w:ind w:left="1440" w:hanging="360"/>
      </w:pPr>
    </w:lvl>
    <w:lvl w:ilvl="7" w:tplc="8F285D5E">
      <w:start w:val="1"/>
      <w:numFmt w:val="decimal"/>
      <w:lvlText w:val="%8."/>
      <w:lvlJc w:val="left"/>
      <w:pPr>
        <w:ind w:left="1440" w:hanging="360"/>
      </w:pPr>
    </w:lvl>
    <w:lvl w:ilvl="8" w:tplc="5C8E2BE4">
      <w:start w:val="1"/>
      <w:numFmt w:val="decimal"/>
      <w:lvlText w:val="%9."/>
      <w:lvlJc w:val="left"/>
      <w:pPr>
        <w:ind w:left="1440" w:hanging="360"/>
      </w:pPr>
    </w:lvl>
  </w:abstractNum>
  <w:abstractNum w:abstractNumId="10" w15:restartNumberingAfterBreak="0">
    <w:nsid w:val="529C047A"/>
    <w:multiLevelType w:val="multilevel"/>
    <w:tmpl w:val="FA869C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461669B"/>
    <w:multiLevelType w:val="multilevel"/>
    <w:tmpl w:val="7D5EDEB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8A447BA"/>
    <w:multiLevelType w:val="hybridMultilevel"/>
    <w:tmpl w:val="D9C05C3C"/>
    <w:lvl w:ilvl="0" w:tplc="FFFFFFFF">
      <w:start w:val="1"/>
      <w:numFmt w:val="decimal"/>
      <w:lvlText w:val="%1."/>
      <w:lvlJc w:val="left"/>
      <w:pPr>
        <w:ind w:left="1080" w:hanging="360"/>
      </w:pPr>
      <w:rPr>
        <w:i w:val="0"/>
        <w:iCs w:val="0"/>
      </w:rPr>
    </w:lvl>
    <w:lvl w:ilvl="1" w:tplc="FFFFFFFF">
      <w:start w:val="2"/>
      <w:numFmt w:val="bullet"/>
      <w:lvlText w:val=""/>
      <w:lvlJc w:val="left"/>
      <w:pPr>
        <w:ind w:left="1800" w:hanging="360"/>
      </w:pPr>
      <w:rPr>
        <w:rFonts w:ascii="Symbol" w:eastAsiaTheme="minorHAnsi" w:hAnsi="Symbol" w:cstheme="minorBidi" w:hint="default"/>
        <w:i w:val="0"/>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5EA05ECE"/>
    <w:multiLevelType w:val="hybridMultilevel"/>
    <w:tmpl w:val="6812F046"/>
    <w:lvl w:ilvl="0" w:tplc="5ED6BB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0D7056"/>
    <w:multiLevelType w:val="hybridMultilevel"/>
    <w:tmpl w:val="D9C05C3C"/>
    <w:lvl w:ilvl="0" w:tplc="FFFFFFFF">
      <w:start w:val="1"/>
      <w:numFmt w:val="decimal"/>
      <w:lvlText w:val="%1."/>
      <w:lvlJc w:val="left"/>
      <w:pPr>
        <w:ind w:left="1080" w:hanging="360"/>
      </w:pPr>
      <w:rPr>
        <w:i w:val="0"/>
        <w:iCs w:val="0"/>
      </w:rPr>
    </w:lvl>
    <w:lvl w:ilvl="1" w:tplc="FFFFFFFF">
      <w:start w:val="2"/>
      <w:numFmt w:val="bullet"/>
      <w:lvlText w:val=""/>
      <w:lvlJc w:val="left"/>
      <w:pPr>
        <w:ind w:left="1800" w:hanging="360"/>
      </w:pPr>
      <w:rPr>
        <w:rFonts w:ascii="Symbol" w:eastAsiaTheme="minorHAnsi" w:hAnsi="Symbol" w:cstheme="minorBidi" w:hint="default"/>
        <w:i w:val="0"/>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653E482F"/>
    <w:multiLevelType w:val="hybridMultilevel"/>
    <w:tmpl w:val="D9C05C3C"/>
    <w:lvl w:ilvl="0" w:tplc="FFFFFFFF">
      <w:start w:val="1"/>
      <w:numFmt w:val="decimal"/>
      <w:lvlText w:val="%1."/>
      <w:lvlJc w:val="left"/>
      <w:pPr>
        <w:ind w:left="1080" w:hanging="360"/>
      </w:pPr>
      <w:rPr>
        <w:i w:val="0"/>
        <w:iCs w:val="0"/>
      </w:rPr>
    </w:lvl>
    <w:lvl w:ilvl="1" w:tplc="FFFFFFFF">
      <w:start w:val="2"/>
      <w:numFmt w:val="bullet"/>
      <w:lvlText w:val=""/>
      <w:lvlJc w:val="left"/>
      <w:pPr>
        <w:ind w:left="1800" w:hanging="360"/>
      </w:pPr>
      <w:rPr>
        <w:rFonts w:ascii="Symbol" w:eastAsiaTheme="minorHAnsi" w:hAnsi="Symbol" w:cstheme="minorBidi" w:hint="default"/>
        <w:i w:val="0"/>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6F363EED"/>
    <w:multiLevelType w:val="hybridMultilevel"/>
    <w:tmpl w:val="A5983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C7118B"/>
    <w:multiLevelType w:val="hybridMultilevel"/>
    <w:tmpl w:val="60C00B2C"/>
    <w:lvl w:ilvl="0" w:tplc="EB78ECCC">
      <w:start w:val="1"/>
      <w:numFmt w:val="decimal"/>
      <w:lvlText w:val="%1."/>
      <w:lvlJc w:val="left"/>
      <w:pPr>
        <w:ind w:left="1440" w:hanging="360"/>
      </w:pPr>
    </w:lvl>
    <w:lvl w:ilvl="1" w:tplc="1598E7DA">
      <w:start w:val="1"/>
      <w:numFmt w:val="decimal"/>
      <w:lvlText w:val="%2."/>
      <w:lvlJc w:val="left"/>
      <w:pPr>
        <w:ind w:left="1440" w:hanging="360"/>
      </w:pPr>
    </w:lvl>
    <w:lvl w:ilvl="2" w:tplc="38A0DD38">
      <w:start w:val="1"/>
      <w:numFmt w:val="decimal"/>
      <w:lvlText w:val="%3."/>
      <w:lvlJc w:val="left"/>
      <w:pPr>
        <w:ind w:left="1440" w:hanging="360"/>
      </w:pPr>
    </w:lvl>
    <w:lvl w:ilvl="3" w:tplc="63F8AD00">
      <w:start w:val="1"/>
      <w:numFmt w:val="decimal"/>
      <w:lvlText w:val="%4."/>
      <w:lvlJc w:val="left"/>
      <w:pPr>
        <w:ind w:left="1440" w:hanging="360"/>
      </w:pPr>
    </w:lvl>
    <w:lvl w:ilvl="4" w:tplc="7F0A4AE6">
      <w:start w:val="1"/>
      <w:numFmt w:val="decimal"/>
      <w:lvlText w:val="%5."/>
      <w:lvlJc w:val="left"/>
      <w:pPr>
        <w:ind w:left="1440" w:hanging="360"/>
      </w:pPr>
    </w:lvl>
    <w:lvl w:ilvl="5" w:tplc="BE5A1FD0">
      <w:start w:val="1"/>
      <w:numFmt w:val="decimal"/>
      <w:lvlText w:val="%6."/>
      <w:lvlJc w:val="left"/>
      <w:pPr>
        <w:ind w:left="1440" w:hanging="360"/>
      </w:pPr>
    </w:lvl>
    <w:lvl w:ilvl="6" w:tplc="C3122F3A">
      <w:start w:val="1"/>
      <w:numFmt w:val="decimal"/>
      <w:lvlText w:val="%7."/>
      <w:lvlJc w:val="left"/>
      <w:pPr>
        <w:ind w:left="1440" w:hanging="360"/>
      </w:pPr>
    </w:lvl>
    <w:lvl w:ilvl="7" w:tplc="2C562FAE">
      <w:start w:val="1"/>
      <w:numFmt w:val="decimal"/>
      <w:lvlText w:val="%8."/>
      <w:lvlJc w:val="left"/>
      <w:pPr>
        <w:ind w:left="1440" w:hanging="360"/>
      </w:pPr>
    </w:lvl>
    <w:lvl w:ilvl="8" w:tplc="71C04640">
      <w:start w:val="1"/>
      <w:numFmt w:val="decimal"/>
      <w:lvlText w:val="%9."/>
      <w:lvlJc w:val="left"/>
      <w:pPr>
        <w:ind w:left="1440" w:hanging="360"/>
      </w:pPr>
    </w:lvl>
  </w:abstractNum>
  <w:abstractNum w:abstractNumId="18" w15:restartNumberingAfterBreak="0">
    <w:nsid w:val="73276FF5"/>
    <w:multiLevelType w:val="hybridMultilevel"/>
    <w:tmpl w:val="33385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8A2B8D"/>
    <w:multiLevelType w:val="hybridMultilevel"/>
    <w:tmpl w:val="0E46D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1839497">
    <w:abstractNumId w:val="19"/>
  </w:num>
  <w:num w:numId="2" w16cid:durableId="1907101962">
    <w:abstractNumId w:val="16"/>
  </w:num>
  <w:num w:numId="3" w16cid:durableId="1089959634">
    <w:abstractNumId w:val="7"/>
  </w:num>
  <w:num w:numId="4" w16cid:durableId="1640573052">
    <w:abstractNumId w:val="11"/>
  </w:num>
  <w:num w:numId="5" w16cid:durableId="1047486281">
    <w:abstractNumId w:val="5"/>
  </w:num>
  <w:num w:numId="6" w16cid:durableId="700084643">
    <w:abstractNumId w:val="8"/>
  </w:num>
  <w:num w:numId="7" w16cid:durableId="143666960">
    <w:abstractNumId w:val="13"/>
  </w:num>
  <w:num w:numId="8" w16cid:durableId="1172332166">
    <w:abstractNumId w:val="1"/>
  </w:num>
  <w:num w:numId="9" w16cid:durableId="2095935079">
    <w:abstractNumId w:val="4"/>
  </w:num>
  <w:num w:numId="10" w16cid:durableId="453447181">
    <w:abstractNumId w:val="2"/>
  </w:num>
  <w:num w:numId="11" w16cid:durableId="964769949">
    <w:abstractNumId w:val="17"/>
  </w:num>
  <w:num w:numId="12" w16cid:durableId="539517699">
    <w:abstractNumId w:val="9"/>
  </w:num>
  <w:num w:numId="13" w16cid:durableId="1631128912">
    <w:abstractNumId w:val="18"/>
  </w:num>
  <w:num w:numId="14" w16cid:durableId="373433659">
    <w:abstractNumId w:val="3"/>
  </w:num>
  <w:num w:numId="15" w16cid:durableId="920527726">
    <w:abstractNumId w:val="10"/>
  </w:num>
  <w:num w:numId="16" w16cid:durableId="1816874049">
    <w:abstractNumId w:val="6"/>
  </w:num>
  <w:num w:numId="17" w16cid:durableId="1803958010">
    <w:abstractNumId w:val="12"/>
  </w:num>
  <w:num w:numId="18" w16cid:durableId="565602809">
    <w:abstractNumId w:val="0"/>
  </w:num>
  <w:num w:numId="19" w16cid:durableId="2103986337">
    <w:abstractNumId w:val="15"/>
  </w:num>
  <w:num w:numId="20" w16cid:durableId="190514000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D4A"/>
    <w:rsid w:val="00000386"/>
    <w:rsid w:val="0003355E"/>
    <w:rsid w:val="0003615E"/>
    <w:rsid w:val="0006122B"/>
    <w:rsid w:val="00063FC3"/>
    <w:rsid w:val="00082B50"/>
    <w:rsid w:val="000948E9"/>
    <w:rsid w:val="00095A7C"/>
    <w:rsid w:val="000A50B4"/>
    <w:rsid w:val="000A7DC7"/>
    <w:rsid w:val="000C4464"/>
    <w:rsid w:val="000C79F8"/>
    <w:rsid w:val="000C7F06"/>
    <w:rsid w:val="000D2B73"/>
    <w:rsid w:val="000E0B8D"/>
    <w:rsid w:val="000E77CC"/>
    <w:rsid w:val="000F1F2B"/>
    <w:rsid w:val="00102108"/>
    <w:rsid w:val="00104C8A"/>
    <w:rsid w:val="0010729B"/>
    <w:rsid w:val="00130C47"/>
    <w:rsid w:val="00144F6F"/>
    <w:rsid w:val="0015357A"/>
    <w:rsid w:val="00163324"/>
    <w:rsid w:val="0018733D"/>
    <w:rsid w:val="0019181B"/>
    <w:rsid w:val="00191B26"/>
    <w:rsid w:val="00195231"/>
    <w:rsid w:val="00196D80"/>
    <w:rsid w:val="00196FA1"/>
    <w:rsid w:val="001B1015"/>
    <w:rsid w:val="001B1554"/>
    <w:rsid w:val="001B2DEC"/>
    <w:rsid w:val="001B314D"/>
    <w:rsid w:val="001C082C"/>
    <w:rsid w:val="001D6221"/>
    <w:rsid w:val="001E0405"/>
    <w:rsid w:val="001E2DEE"/>
    <w:rsid w:val="001F00A8"/>
    <w:rsid w:val="001F2283"/>
    <w:rsid w:val="002027CB"/>
    <w:rsid w:val="0020682B"/>
    <w:rsid w:val="00211F7A"/>
    <w:rsid w:val="002309CF"/>
    <w:rsid w:val="002435AB"/>
    <w:rsid w:val="00255119"/>
    <w:rsid w:val="002706F0"/>
    <w:rsid w:val="00283207"/>
    <w:rsid w:val="002A0DAC"/>
    <w:rsid w:val="002A44EA"/>
    <w:rsid w:val="002A4DE0"/>
    <w:rsid w:val="002A5EF4"/>
    <w:rsid w:val="002C02FA"/>
    <w:rsid w:val="002C6347"/>
    <w:rsid w:val="002D3A24"/>
    <w:rsid w:val="002E4A4F"/>
    <w:rsid w:val="002E784F"/>
    <w:rsid w:val="00306C4F"/>
    <w:rsid w:val="00337641"/>
    <w:rsid w:val="00355F0D"/>
    <w:rsid w:val="0036156E"/>
    <w:rsid w:val="00370D71"/>
    <w:rsid w:val="00381CF9"/>
    <w:rsid w:val="003902E8"/>
    <w:rsid w:val="00390C01"/>
    <w:rsid w:val="003A0940"/>
    <w:rsid w:val="003A40EF"/>
    <w:rsid w:val="003A7BED"/>
    <w:rsid w:val="003C586F"/>
    <w:rsid w:val="003C7987"/>
    <w:rsid w:val="003E471B"/>
    <w:rsid w:val="003E5148"/>
    <w:rsid w:val="003E7177"/>
    <w:rsid w:val="003F3EEB"/>
    <w:rsid w:val="00415471"/>
    <w:rsid w:val="00415710"/>
    <w:rsid w:val="00426B75"/>
    <w:rsid w:val="00436DC0"/>
    <w:rsid w:val="0045112D"/>
    <w:rsid w:val="004544DE"/>
    <w:rsid w:val="00460A24"/>
    <w:rsid w:val="004631EE"/>
    <w:rsid w:val="004666AA"/>
    <w:rsid w:val="0046730B"/>
    <w:rsid w:val="00481789"/>
    <w:rsid w:val="00481D01"/>
    <w:rsid w:val="00486A3D"/>
    <w:rsid w:val="0049399E"/>
    <w:rsid w:val="00494816"/>
    <w:rsid w:val="00496E5B"/>
    <w:rsid w:val="004A07EB"/>
    <w:rsid w:val="004A4C29"/>
    <w:rsid w:val="004D036D"/>
    <w:rsid w:val="004D5F6B"/>
    <w:rsid w:val="004E0B38"/>
    <w:rsid w:val="004E1905"/>
    <w:rsid w:val="004E2C6B"/>
    <w:rsid w:val="004E6E75"/>
    <w:rsid w:val="004F00E7"/>
    <w:rsid w:val="005010CD"/>
    <w:rsid w:val="0051360D"/>
    <w:rsid w:val="005165A6"/>
    <w:rsid w:val="00520D16"/>
    <w:rsid w:val="005268B3"/>
    <w:rsid w:val="0054376B"/>
    <w:rsid w:val="00546ED2"/>
    <w:rsid w:val="00556114"/>
    <w:rsid w:val="005618CF"/>
    <w:rsid w:val="00561B6F"/>
    <w:rsid w:val="0058604A"/>
    <w:rsid w:val="0058732D"/>
    <w:rsid w:val="005A1980"/>
    <w:rsid w:val="005A226B"/>
    <w:rsid w:val="005A3C83"/>
    <w:rsid w:val="005C10C3"/>
    <w:rsid w:val="005D49E5"/>
    <w:rsid w:val="005F2E59"/>
    <w:rsid w:val="005F349C"/>
    <w:rsid w:val="005F6B32"/>
    <w:rsid w:val="006014B6"/>
    <w:rsid w:val="006044C9"/>
    <w:rsid w:val="00621DB9"/>
    <w:rsid w:val="00622A99"/>
    <w:rsid w:val="00623DEE"/>
    <w:rsid w:val="00625DAA"/>
    <w:rsid w:val="00631816"/>
    <w:rsid w:val="00651276"/>
    <w:rsid w:val="00654A9C"/>
    <w:rsid w:val="00661524"/>
    <w:rsid w:val="0066587C"/>
    <w:rsid w:val="006820DE"/>
    <w:rsid w:val="00683620"/>
    <w:rsid w:val="006841D5"/>
    <w:rsid w:val="00690598"/>
    <w:rsid w:val="00690CF6"/>
    <w:rsid w:val="006969E1"/>
    <w:rsid w:val="006A01B5"/>
    <w:rsid w:val="006B1440"/>
    <w:rsid w:val="006B1855"/>
    <w:rsid w:val="006B489C"/>
    <w:rsid w:val="006C128D"/>
    <w:rsid w:val="006C4D06"/>
    <w:rsid w:val="006D1D1F"/>
    <w:rsid w:val="006D1FAD"/>
    <w:rsid w:val="006D55D6"/>
    <w:rsid w:val="006E0E31"/>
    <w:rsid w:val="006E1ED9"/>
    <w:rsid w:val="0070272F"/>
    <w:rsid w:val="00706F72"/>
    <w:rsid w:val="00717FFB"/>
    <w:rsid w:val="00726C92"/>
    <w:rsid w:val="00733091"/>
    <w:rsid w:val="00735564"/>
    <w:rsid w:val="0075241D"/>
    <w:rsid w:val="00752C23"/>
    <w:rsid w:val="0075341B"/>
    <w:rsid w:val="00753894"/>
    <w:rsid w:val="007624CC"/>
    <w:rsid w:val="00795A78"/>
    <w:rsid w:val="007977F8"/>
    <w:rsid w:val="007A213E"/>
    <w:rsid w:val="007A5737"/>
    <w:rsid w:val="007C7326"/>
    <w:rsid w:val="008001DA"/>
    <w:rsid w:val="00805F1A"/>
    <w:rsid w:val="0080630E"/>
    <w:rsid w:val="00808AE2"/>
    <w:rsid w:val="00826687"/>
    <w:rsid w:val="00833B4B"/>
    <w:rsid w:val="00836559"/>
    <w:rsid w:val="00855BF7"/>
    <w:rsid w:val="00874E1A"/>
    <w:rsid w:val="00884034"/>
    <w:rsid w:val="00890CC3"/>
    <w:rsid w:val="00894ACA"/>
    <w:rsid w:val="00894BF6"/>
    <w:rsid w:val="008B10B7"/>
    <w:rsid w:val="008B4008"/>
    <w:rsid w:val="008B50E8"/>
    <w:rsid w:val="008C14D4"/>
    <w:rsid w:val="008D36A7"/>
    <w:rsid w:val="008F5B28"/>
    <w:rsid w:val="00901CC8"/>
    <w:rsid w:val="0090472A"/>
    <w:rsid w:val="00913595"/>
    <w:rsid w:val="00915C44"/>
    <w:rsid w:val="00947635"/>
    <w:rsid w:val="00957770"/>
    <w:rsid w:val="009778E7"/>
    <w:rsid w:val="0098549F"/>
    <w:rsid w:val="009C2ED3"/>
    <w:rsid w:val="009C6C2F"/>
    <w:rsid w:val="009D7C1A"/>
    <w:rsid w:val="009E1A62"/>
    <w:rsid w:val="009F4C6C"/>
    <w:rsid w:val="009F76F3"/>
    <w:rsid w:val="00A068CA"/>
    <w:rsid w:val="00A236E0"/>
    <w:rsid w:val="00A266ED"/>
    <w:rsid w:val="00A44C89"/>
    <w:rsid w:val="00A50968"/>
    <w:rsid w:val="00A64011"/>
    <w:rsid w:val="00A769E2"/>
    <w:rsid w:val="00A7766B"/>
    <w:rsid w:val="00A77B81"/>
    <w:rsid w:val="00AB0FD2"/>
    <w:rsid w:val="00AC695F"/>
    <w:rsid w:val="00AE76FE"/>
    <w:rsid w:val="00B306C7"/>
    <w:rsid w:val="00B31507"/>
    <w:rsid w:val="00B5543B"/>
    <w:rsid w:val="00B65070"/>
    <w:rsid w:val="00B72EAB"/>
    <w:rsid w:val="00B920FE"/>
    <w:rsid w:val="00BAC4B9"/>
    <w:rsid w:val="00BD5BAD"/>
    <w:rsid w:val="00BE2836"/>
    <w:rsid w:val="00BE7EA8"/>
    <w:rsid w:val="00BF1153"/>
    <w:rsid w:val="00BF38F2"/>
    <w:rsid w:val="00BF3E9D"/>
    <w:rsid w:val="00C0137F"/>
    <w:rsid w:val="00C2729E"/>
    <w:rsid w:val="00C3034F"/>
    <w:rsid w:val="00C600F2"/>
    <w:rsid w:val="00C6242F"/>
    <w:rsid w:val="00C6495E"/>
    <w:rsid w:val="00C70ABF"/>
    <w:rsid w:val="00C7362B"/>
    <w:rsid w:val="00C85B16"/>
    <w:rsid w:val="00C927D6"/>
    <w:rsid w:val="00CA65EE"/>
    <w:rsid w:val="00CC7D7F"/>
    <w:rsid w:val="00CD4FD6"/>
    <w:rsid w:val="00D0293C"/>
    <w:rsid w:val="00D15FE3"/>
    <w:rsid w:val="00D50FFE"/>
    <w:rsid w:val="00D521C8"/>
    <w:rsid w:val="00D570D7"/>
    <w:rsid w:val="00D74CB0"/>
    <w:rsid w:val="00D75135"/>
    <w:rsid w:val="00D752D4"/>
    <w:rsid w:val="00D80EA6"/>
    <w:rsid w:val="00DA1710"/>
    <w:rsid w:val="00DC36D3"/>
    <w:rsid w:val="00DD1D53"/>
    <w:rsid w:val="00E130CD"/>
    <w:rsid w:val="00E13A99"/>
    <w:rsid w:val="00E20ECC"/>
    <w:rsid w:val="00E2134E"/>
    <w:rsid w:val="00E32206"/>
    <w:rsid w:val="00E41FF9"/>
    <w:rsid w:val="00E440C8"/>
    <w:rsid w:val="00E672D9"/>
    <w:rsid w:val="00E94EC6"/>
    <w:rsid w:val="00E97A04"/>
    <w:rsid w:val="00EA125D"/>
    <w:rsid w:val="00EA6BF0"/>
    <w:rsid w:val="00EB7880"/>
    <w:rsid w:val="00EC34A0"/>
    <w:rsid w:val="00EC6EC9"/>
    <w:rsid w:val="00EC723F"/>
    <w:rsid w:val="00EC754D"/>
    <w:rsid w:val="00EE5618"/>
    <w:rsid w:val="00F01D4A"/>
    <w:rsid w:val="00F074B9"/>
    <w:rsid w:val="00F12119"/>
    <w:rsid w:val="00F12A52"/>
    <w:rsid w:val="00F16013"/>
    <w:rsid w:val="00F23328"/>
    <w:rsid w:val="00F36E04"/>
    <w:rsid w:val="00F5581B"/>
    <w:rsid w:val="00F77CE4"/>
    <w:rsid w:val="00F81C0F"/>
    <w:rsid w:val="00F9474E"/>
    <w:rsid w:val="00FA24B2"/>
    <w:rsid w:val="00FB187E"/>
    <w:rsid w:val="00FC0331"/>
    <w:rsid w:val="00FD2402"/>
    <w:rsid w:val="00FE610F"/>
    <w:rsid w:val="00FF4367"/>
    <w:rsid w:val="00FF5FC5"/>
    <w:rsid w:val="01A77251"/>
    <w:rsid w:val="02D1C10A"/>
    <w:rsid w:val="042ABA02"/>
    <w:rsid w:val="05D7DE53"/>
    <w:rsid w:val="05EA0DE3"/>
    <w:rsid w:val="08215992"/>
    <w:rsid w:val="090DA74F"/>
    <w:rsid w:val="0ACC4562"/>
    <w:rsid w:val="0B091934"/>
    <w:rsid w:val="0BD2AD18"/>
    <w:rsid w:val="0C168992"/>
    <w:rsid w:val="0CE3359E"/>
    <w:rsid w:val="0E03E624"/>
    <w:rsid w:val="0E895C2E"/>
    <w:rsid w:val="0EF48047"/>
    <w:rsid w:val="0F7749B6"/>
    <w:rsid w:val="10B87790"/>
    <w:rsid w:val="10D14E04"/>
    <w:rsid w:val="115D8C49"/>
    <w:rsid w:val="11D153FA"/>
    <w:rsid w:val="11F6523B"/>
    <w:rsid w:val="125CFBD2"/>
    <w:rsid w:val="127A3905"/>
    <w:rsid w:val="13FB97ED"/>
    <w:rsid w:val="161C90E0"/>
    <w:rsid w:val="16A22794"/>
    <w:rsid w:val="1703D59D"/>
    <w:rsid w:val="180B4787"/>
    <w:rsid w:val="1905BEAE"/>
    <w:rsid w:val="198B3A3C"/>
    <w:rsid w:val="19C75D47"/>
    <w:rsid w:val="19FC0B9F"/>
    <w:rsid w:val="1A0F4AD6"/>
    <w:rsid w:val="1AA18F0F"/>
    <w:rsid w:val="1AA73F35"/>
    <w:rsid w:val="1B6804AE"/>
    <w:rsid w:val="1C3D5F70"/>
    <w:rsid w:val="1CC625D4"/>
    <w:rsid w:val="1CF4F456"/>
    <w:rsid w:val="1D79BDF0"/>
    <w:rsid w:val="1DF7C1A2"/>
    <w:rsid w:val="1E043DE9"/>
    <w:rsid w:val="1E5B7508"/>
    <w:rsid w:val="1F22567D"/>
    <w:rsid w:val="1FCDE9E7"/>
    <w:rsid w:val="2219D201"/>
    <w:rsid w:val="225960D2"/>
    <w:rsid w:val="2269EF23"/>
    <w:rsid w:val="2284F5E8"/>
    <w:rsid w:val="2319B600"/>
    <w:rsid w:val="23396731"/>
    <w:rsid w:val="23757774"/>
    <w:rsid w:val="23EB82C8"/>
    <w:rsid w:val="243759DF"/>
    <w:rsid w:val="247B53E2"/>
    <w:rsid w:val="265B52FA"/>
    <w:rsid w:val="266524D5"/>
    <w:rsid w:val="279046D3"/>
    <w:rsid w:val="287199EB"/>
    <w:rsid w:val="293906E1"/>
    <w:rsid w:val="294BD248"/>
    <w:rsid w:val="298D199E"/>
    <w:rsid w:val="29F1845D"/>
    <w:rsid w:val="2A173F5D"/>
    <w:rsid w:val="2BF58E47"/>
    <w:rsid w:val="2C1940EF"/>
    <w:rsid w:val="2C63B7F6"/>
    <w:rsid w:val="2CC43B9B"/>
    <w:rsid w:val="2CCE7239"/>
    <w:rsid w:val="2DA887E8"/>
    <w:rsid w:val="2E4E7581"/>
    <w:rsid w:val="2E9E1F9F"/>
    <w:rsid w:val="2EA013C0"/>
    <w:rsid w:val="2F057545"/>
    <w:rsid w:val="300DD2F8"/>
    <w:rsid w:val="32CAB244"/>
    <w:rsid w:val="330B23F9"/>
    <w:rsid w:val="33E611B4"/>
    <w:rsid w:val="34072331"/>
    <w:rsid w:val="34E624E2"/>
    <w:rsid w:val="3590D54A"/>
    <w:rsid w:val="362B5479"/>
    <w:rsid w:val="365F7BB3"/>
    <w:rsid w:val="372CA5AB"/>
    <w:rsid w:val="3860CA8F"/>
    <w:rsid w:val="387653B5"/>
    <w:rsid w:val="38F8A8D3"/>
    <w:rsid w:val="39C736E6"/>
    <w:rsid w:val="3A21A93F"/>
    <w:rsid w:val="3A3ACDF9"/>
    <w:rsid w:val="3A966489"/>
    <w:rsid w:val="3B1EFF7C"/>
    <w:rsid w:val="3E012F78"/>
    <w:rsid w:val="40308851"/>
    <w:rsid w:val="40CB6770"/>
    <w:rsid w:val="41773F41"/>
    <w:rsid w:val="41EA2FD1"/>
    <w:rsid w:val="42D99A99"/>
    <w:rsid w:val="42DBEE9C"/>
    <w:rsid w:val="4386A340"/>
    <w:rsid w:val="43C6FFB4"/>
    <w:rsid w:val="449C5A5E"/>
    <w:rsid w:val="46081755"/>
    <w:rsid w:val="46A598FC"/>
    <w:rsid w:val="46DEB701"/>
    <w:rsid w:val="479E4BCE"/>
    <w:rsid w:val="4827AE76"/>
    <w:rsid w:val="484AA475"/>
    <w:rsid w:val="487E00A0"/>
    <w:rsid w:val="4BF8C3E4"/>
    <w:rsid w:val="4CDAA692"/>
    <w:rsid w:val="4CFB186A"/>
    <w:rsid w:val="4D03B53D"/>
    <w:rsid w:val="4DB9C7FB"/>
    <w:rsid w:val="4E41A85E"/>
    <w:rsid w:val="4EAB7996"/>
    <w:rsid w:val="4EED4224"/>
    <w:rsid w:val="4F97695C"/>
    <w:rsid w:val="50727A4F"/>
    <w:rsid w:val="512B9E1C"/>
    <w:rsid w:val="5182BB1F"/>
    <w:rsid w:val="519876C4"/>
    <w:rsid w:val="51CFD826"/>
    <w:rsid w:val="52505E91"/>
    <w:rsid w:val="547000F7"/>
    <w:rsid w:val="56AA7010"/>
    <w:rsid w:val="56C7D653"/>
    <w:rsid w:val="573C867D"/>
    <w:rsid w:val="5919EF13"/>
    <w:rsid w:val="5C808B4B"/>
    <w:rsid w:val="5CE9D1C6"/>
    <w:rsid w:val="5D6E18DF"/>
    <w:rsid w:val="5D939290"/>
    <w:rsid w:val="5E85A227"/>
    <w:rsid w:val="5F0B5374"/>
    <w:rsid w:val="5FC5073A"/>
    <w:rsid w:val="610C37C1"/>
    <w:rsid w:val="617CBF69"/>
    <w:rsid w:val="619181B5"/>
    <w:rsid w:val="6242F436"/>
    <w:rsid w:val="6245D952"/>
    <w:rsid w:val="624984D5"/>
    <w:rsid w:val="62F6FB79"/>
    <w:rsid w:val="63D56AA4"/>
    <w:rsid w:val="641D5FEB"/>
    <w:rsid w:val="65AA437A"/>
    <w:rsid w:val="69431A3C"/>
    <w:rsid w:val="699C70E7"/>
    <w:rsid w:val="6A4D99CE"/>
    <w:rsid w:val="6A9AB476"/>
    <w:rsid w:val="6B1AC43A"/>
    <w:rsid w:val="6B5DED3C"/>
    <w:rsid w:val="6C04CBBA"/>
    <w:rsid w:val="6D5B452D"/>
    <w:rsid w:val="6D9E546B"/>
    <w:rsid w:val="6E3DD542"/>
    <w:rsid w:val="6EAAD7C7"/>
    <w:rsid w:val="6EDA961E"/>
    <w:rsid w:val="6F259D4B"/>
    <w:rsid w:val="70FD287C"/>
    <w:rsid w:val="712E18E3"/>
    <w:rsid w:val="71EE5B2A"/>
    <w:rsid w:val="72A11977"/>
    <w:rsid w:val="73F98343"/>
    <w:rsid w:val="74B18E34"/>
    <w:rsid w:val="75939A06"/>
    <w:rsid w:val="759A29D3"/>
    <w:rsid w:val="76D06834"/>
    <w:rsid w:val="77233A20"/>
    <w:rsid w:val="772FFB12"/>
    <w:rsid w:val="77C5862D"/>
    <w:rsid w:val="77EAA218"/>
    <w:rsid w:val="7873BFE3"/>
    <w:rsid w:val="792F194B"/>
    <w:rsid w:val="79D0C737"/>
    <w:rsid w:val="7A30B977"/>
    <w:rsid w:val="7AF90E3A"/>
    <w:rsid w:val="7B67C872"/>
    <w:rsid w:val="7BA14159"/>
    <w:rsid w:val="7D3B9746"/>
    <w:rsid w:val="7DCA5544"/>
    <w:rsid w:val="7E124636"/>
    <w:rsid w:val="7EBC90FB"/>
    <w:rsid w:val="7FDC92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240A1"/>
  <w15:chartTrackingRefBased/>
  <w15:docId w15:val="{4556AF93-B2FC-4394-9697-E924F4B6B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FFE"/>
  </w:style>
  <w:style w:type="paragraph" w:styleId="Heading2">
    <w:name w:val="heading 2"/>
    <w:basedOn w:val="Normal"/>
    <w:next w:val="Normal"/>
    <w:link w:val="Heading2Char"/>
    <w:uiPriority w:val="9"/>
    <w:unhideWhenUsed/>
    <w:qFormat/>
    <w:rsid w:val="00F01D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0682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F01D4A"/>
  </w:style>
  <w:style w:type="paragraph" w:styleId="ListParagraph">
    <w:name w:val="List Paragraph"/>
    <w:basedOn w:val="Normal"/>
    <w:uiPriority w:val="34"/>
    <w:qFormat/>
    <w:rsid w:val="003A0940"/>
    <w:pPr>
      <w:ind w:left="720"/>
      <w:contextualSpacing/>
    </w:pPr>
  </w:style>
  <w:style w:type="character" w:customStyle="1" w:styleId="Heading2Char">
    <w:name w:val="Heading 2 Char"/>
    <w:basedOn w:val="DefaultParagraphFont"/>
    <w:link w:val="Heading2"/>
    <w:uiPriority w:val="9"/>
    <w:rsid w:val="00F01D4A"/>
    <w:rPr>
      <w:rFonts w:asciiTheme="majorHAnsi" w:eastAsiaTheme="majorEastAsia" w:hAnsiTheme="majorHAnsi" w:cstheme="majorBidi"/>
      <w:color w:val="2F5496" w:themeColor="accent1" w:themeShade="BF"/>
      <w:sz w:val="26"/>
      <w:szCs w:val="26"/>
    </w:rPr>
  </w:style>
  <w:style w:type="character" w:customStyle="1" w:styleId="eop">
    <w:name w:val="eop"/>
    <w:basedOn w:val="DefaultParagraphFont"/>
    <w:rsid w:val="00826687"/>
  </w:style>
  <w:style w:type="character" w:customStyle="1" w:styleId="Heading3Char">
    <w:name w:val="Heading 3 Char"/>
    <w:basedOn w:val="DefaultParagraphFont"/>
    <w:link w:val="Heading3"/>
    <w:uiPriority w:val="9"/>
    <w:rsid w:val="0020682B"/>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CD4FD6"/>
    <w:rPr>
      <w:color w:val="0563C1" w:themeColor="hyperlink"/>
      <w:u w:val="single"/>
    </w:rPr>
  </w:style>
  <w:style w:type="character" w:styleId="UnresolvedMention">
    <w:name w:val="Unresolved Mention"/>
    <w:basedOn w:val="DefaultParagraphFont"/>
    <w:uiPriority w:val="99"/>
    <w:semiHidden/>
    <w:unhideWhenUsed/>
    <w:rsid w:val="00CD4FD6"/>
    <w:rPr>
      <w:color w:val="605E5C"/>
      <w:shd w:val="clear" w:color="auto" w:fill="E1DFDD"/>
    </w:rPr>
  </w:style>
  <w:style w:type="character" w:styleId="CommentReference">
    <w:name w:val="annotation reference"/>
    <w:basedOn w:val="DefaultParagraphFont"/>
    <w:uiPriority w:val="99"/>
    <w:semiHidden/>
    <w:unhideWhenUsed/>
    <w:rsid w:val="006014B6"/>
    <w:rPr>
      <w:sz w:val="16"/>
      <w:szCs w:val="16"/>
    </w:rPr>
  </w:style>
  <w:style w:type="paragraph" w:styleId="CommentText">
    <w:name w:val="annotation text"/>
    <w:basedOn w:val="Normal"/>
    <w:link w:val="CommentTextChar"/>
    <w:uiPriority w:val="99"/>
    <w:unhideWhenUsed/>
    <w:rsid w:val="006014B6"/>
    <w:pPr>
      <w:spacing w:line="240" w:lineRule="auto"/>
    </w:pPr>
    <w:rPr>
      <w:sz w:val="20"/>
      <w:szCs w:val="20"/>
    </w:rPr>
  </w:style>
  <w:style w:type="character" w:customStyle="1" w:styleId="CommentTextChar">
    <w:name w:val="Comment Text Char"/>
    <w:basedOn w:val="DefaultParagraphFont"/>
    <w:link w:val="CommentText"/>
    <w:uiPriority w:val="99"/>
    <w:rsid w:val="006014B6"/>
    <w:rPr>
      <w:sz w:val="20"/>
      <w:szCs w:val="20"/>
    </w:rPr>
  </w:style>
  <w:style w:type="paragraph" w:styleId="CommentSubject">
    <w:name w:val="annotation subject"/>
    <w:basedOn w:val="CommentText"/>
    <w:next w:val="CommentText"/>
    <w:link w:val="CommentSubjectChar"/>
    <w:uiPriority w:val="99"/>
    <w:semiHidden/>
    <w:unhideWhenUsed/>
    <w:rsid w:val="006014B6"/>
    <w:rPr>
      <w:b/>
      <w:bCs/>
    </w:rPr>
  </w:style>
  <w:style w:type="character" w:customStyle="1" w:styleId="CommentSubjectChar">
    <w:name w:val="Comment Subject Char"/>
    <w:basedOn w:val="CommentTextChar"/>
    <w:link w:val="CommentSubject"/>
    <w:uiPriority w:val="99"/>
    <w:semiHidden/>
    <w:rsid w:val="006014B6"/>
    <w:rPr>
      <w:b/>
      <w:bCs/>
      <w:sz w:val="20"/>
      <w:szCs w:val="20"/>
    </w:rPr>
  </w:style>
  <w:style w:type="paragraph" w:styleId="Revision">
    <w:name w:val="Revision"/>
    <w:hidden/>
    <w:uiPriority w:val="99"/>
    <w:semiHidden/>
    <w:rsid w:val="002309CF"/>
    <w:pPr>
      <w:spacing w:after="0" w:line="240" w:lineRule="auto"/>
    </w:p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306C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6C4F"/>
  </w:style>
  <w:style w:type="paragraph" w:styleId="Footer">
    <w:name w:val="footer"/>
    <w:basedOn w:val="Normal"/>
    <w:link w:val="FooterChar"/>
    <w:uiPriority w:val="99"/>
    <w:unhideWhenUsed/>
    <w:rsid w:val="00306C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6C4F"/>
  </w:style>
  <w:style w:type="paragraph" w:styleId="FootnoteText">
    <w:name w:val="footnote text"/>
    <w:basedOn w:val="Normal"/>
    <w:link w:val="FootnoteTextChar"/>
    <w:uiPriority w:val="99"/>
    <w:semiHidden/>
    <w:unhideWhenUsed/>
    <w:rsid w:val="007355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5564"/>
    <w:rPr>
      <w:sz w:val="20"/>
      <w:szCs w:val="20"/>
    </w:rPr>
  </w:style>
  <w:style w:type="character" w:styleId="FootnoteReference">
    <w:name w:val="footnote reference"/>
    <w:basedOn w:val="DefaultParagraphFont"/>
    <w:uiPriority w:val="99"/>
    <w:qFormat/>
    <w:rsid w:val="00735564"/>
    <w:rPr>
      <w:rFonts w:ascii="Times New Roman" w:hAnsi="Times New Roman"/>
      <w:color w:val="auto"/>
      <w:spacing w:val="0"/>
      <w:position w:val="0"/>
      <w:sz w:val="24"/>
      <w:u w:color="000080"/>
      <w:effect w:val="none"/>
      <w:vertAlign w:val="superscript"/>
    </w:rPr>
  </w:style>
  <w:style w:type="table" w:customStyle="1" w:styleId="TableGrid1">
    <w:name w:val="Table Grid1"/>
    <w:basedOn w:val="TableNormal"/>
    <w:next w:val="TableGrid"/>
    <w:uiPriority w:val="39"/>
    <w:rsid w:val="00735564"/>
    <w:pPr>
      <w:widowControl w:val="0"/>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35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C7987"/>
    <w:pPr>
      <w:spacing w:after="200" w:line="240" w:lineRule="auto"/>
    </w:pPr>
    <w:rPr>
      <w:i/>
      <w:iCs/>
      <w:color w:val="44546A" w:themeColor="text2"/>
      <w:sz w:val="18"/>
      <w:szCs w:val="18"/>
    </w:rPr>
  </w:style>
  <w:style w:type="paragraph" w:customStyle="1" w:styleId="xmsonormal">
    <w:name w:val="x_msonormal"/>
    <w:basedOn w:val="Normal"/>
    <w:rsid w:val="00D50FF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FollowedHyperlink">
    <w:name w:val="FollowedHyperlink"/>
    <w:basedOn w:val="DefaultParagraphFont"/>
    <w:uiPriority w:val="99"/>
    <w:semiHidden/>
    <w:unhideWhenUsed/>
    <w:rsid w:val="004817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700886">
      <w:bodyDiv w:val="1"/>
      <w:marLeft w:val="0"/>
      <w:marRight w:val="0"/>
      <w:marTop w:val="0"/>
      <w:marBottom w:val="0"/>
      <w:divBdr>
        <w:top w:val="none" w:sz="0" w:space="0" w:color="auto"/>
        <w:left w:val="none" w:sz="0" w:space="0" w:color="auto"/>
        <w:bottom w:val="none" w:sz="0" w:space="0" w:color="auto"/>
        <w:right w:val="none" w:sz="0" w:space="0" w:color="auto"/>
      </w:divBdr>
    </w:div>
    <w:div w:id="924150524">
      <w:bodyDiv w:val="1"/>
      <w:marLeft w:val="0"/>
      <w:marRight w:val="0"/>
      <w:marTop w:val="0"/>
      <w:marBottom w:val="0"/>
      <w:divBdr>
        <w:top w:val="none" w:sz="0" w:space="0" w:color="auto"/>
        <w:left w:val="none" w:sz="0" w:space="0" w:color="auto"/>
        <w:bottom w:val="none" w:sz="0" w:space="0" w:color="auto"/>
        <w:right w:val="none" w:sz="0" w:space="0" w:color="auto"/>
      </w:divBdr>
      <w:divsChild>
        <w:div w:id="119081205">
          <w:marLeft w:val="0"/>
          <w:marRight w:val="0"/>
          <w:marTop w:val="0"/>
          <w:marBottom w:val="0"/>
          <w:divBdr>
            <w:top w:val="none" w:sz="0" w:space="0" w:color="auto"/>
            <w:left w:val="none" w:sz="0" w:space="0" w:color="auto"/>
            <w:bottom w:val="none" w:sz="0" w:space="0" w:color="auto"/>
            <w:right w:val="none" w:sz="0" w:space="0" w:color="auto"/>
          </w:divBdr>
        </w:div>
        <w:div w:id="941915487">
          <w:marLeft w:val="0"/>
          <w:marRight w:val="0"/>
          <w:marTop w:val="0"/>
          <w:marBottom w:val="0"/>
          <w:divBdr>
            <w:top w:val="none" w:sz="0" w:space="0" w:color="auto"/>
            <w:left w:val="none" w:sz="0" w:space="0" w:color="auto"/>
            <w:bottom w:val="none" w:sz="0" w:space="0" w:color="auto"/>
            <w:right w:val="none" w:sz="0" w:space="0" w:color="auto"/>
          </w:divBdr>
        </w:div>
        <w:div w:id="1065757766">
          <w:marLeft w:val="0"/>
          <w:marRight w:val="0"/>
          <w:marTop w:val="0"/>
          <w:marBottom w:val="0"/>
          <w:divBdr>
            <w:top w:val="none" w:sz="0" w:space="0" w:color="auto"/>
            <w:left w:val="none" w:sz="0" w:space="0" w:color="auto"/>
            <w:bottom w:val="none" w:sz="0" w:space="0" w:color="auto"/>
            <w:right w:val="none" w:sz="0" w:space="0" w:color="auto"/>
          </w:divBdr>
        </w:div>
        <w:div w:id="1195770378">
          <w:marLeft w:val="0"/>
          <w:marRight w:val="0"/>
          <w:marTop w:val="0"/>
          <w:marBottom w:val="0"/>
          <w:divBdr>
            <w:top w:val="none" w:sz="0" w:space="0" w:color="auto"/>
            <w:left w:val="none" w:sz="0" w:space="0" w:color="auto"/>
            <w:bottom w:val="none" w:sz="0" w:space="0" w:color="auto"/>
            <w:right w:val="none" w:sz="0" w:space="0" w:color="auto"/>
          </w:divBdr>
        </w:div>
        <w:div w:id="1652900135">
          <w:marLeft w:val="0"/>
          <w:marRight w:val="0"/>
          <w:marTop w:val="0"/>
          <w:marBottom w:val="0"/>
          <w:divBdr>
            <w:top w:val="none" w:sz="0" w:space="0" w:color="auto"/>
            <w:left w:val="none" w:sz="0" w:space="0" w:color="auto"/>
            <w:bottom w:val="none" w:sz="0" w:space="0" w:color="auto"/>
            <w:right w:val="none" w:sz="0" w:space="0" w:color="auto"/>
          </w:divBdr>
        </w:div>
        <w:div w:id="2111585800">
          <w:marLeft w:val="0"/>
          <w:marRight w:val="0"/>
          <w:marTop w:val="0"/>
          <w:marBottom w:val="0"/>
          <w:divBdr>
            <w:top w:val="none" w:sz="0" w:space="0" w:color="auto"/>
            <w:left w:val="none" w:sz="0" w:space="0" w:color="auto"/>
            <w:bottom w:val="none" w:sz="0" w:space="0" w:color="auto"/>
            <w:right w:val="none" w:sz="0" w:space="0" w:color="auto"/>
          </w:divBdr>
        </w:div>
      </w:divsChild>
    </w:div>
    <w:div w:id="1399396344">
      <w:bodyDiv w:val="1"/>
      <w:marLeft w:val="0"/>
      <w:marRight w:val="0"/>
      <w:marTop w:val="0"/>
      <w:marBottom w:val="0"/>
      <w:divBdr>
        <w:top w:val="none" w:sz="0" w:space="0" w:color="auto"/>
        <w:left w:val="none" w:sz="0" w:space="0" w:color="auto"/>
        <w:bottom w:val="none" w:sz="0" w:space="0" w:color="auto"/>
        <w:right w:val="none" w:sz="0" w:space="0" w:color="auto"/>
      </w:divBdr>
    </w:div>
    <w:div w:id="174633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diagramData" Target="diagrams/data4.xml"/><Relationship Id="rId39"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diagramData" Target="diagrams/data3.xml"/><Relationship Id="rId34" Type="http://schemas.openxmlformats.org/officeDocument/2006/relationships/diagramColors" Target="diagrams/colors5.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diagramQuickStyle" Target="diagrams/quickStyle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diagramColors" Target="diagrams/colors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diagramColors" Target="diagrams/colors3.xml"/><Relationship Id="rId32" Type="http://schemas.openxmlformats.org/officeDocument/2006/relationships/diagramLayout" Target="diagrams/layout5.xml"/><Relationship Id="rId37" Type="http://schemas.openxmlformats.org/officeDocument/2006/relationships/fontTable" Target="fontTable.xml"/><Relationship Id="rId40" Type="http://schemas.microsoft.com/office/2020/10/relationships/intelligence" Target="intelligence2.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diagramQuickStyle" Target="diagrams/quickStyle4.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diagramColors" Target="diagrams/colors2.xml"/><Relationship Id="rId31" Type="http://schemas.openxmlformats.org/officeDocument/2006/relationships/diagramData" Target="diagrams/data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 Id="rId35" Type="http://schemas.microsoft.com/office/2007/relationships/diagramDrawing" Target="diagrams/drawing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a:xfrm>
          <a:off x="0" y="0"/>
          <a:ext cx="6032500" cy="666168"/>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200">
              <a:solidFill>
                <a:sysClr val="window" lastClr="FFFFFF"/>
              </a:solidFill>
              <a:latin typeface="Calibri" panose="020F0502020204030204"/>
              <a:ea typeface="+mn-ea"/>
              <a:cs typeface="+mn-cs"/>
            </a:rPr>
            <a:t>CCN X Emergency Care Access Failure Rate**		</a:t>
          </a:r>
          <a:r>
            <a:rPr lang="en-US" sz="1200" b="1">
              <a:solidFill>
                <a:sysClr val="window" lastClr="FFFFFF"/>
              </a:solidFill>
              <a:latin typeface="Calibri" panose="020F0502020204030204"/>
              <a:ea typeface="+mn-ea"/>
              <a:cs typeface="+mn-cs"/>
            </a:rPr>
            <a:t>20%</a:t>
          </a:r>
        </a:p>
        <a:p>
          <a:pPr>
            <a:buNone/>
          </a:pPr>
          <a:r>
            <a:rPr lang="en-US" sz="1050">
              <a:solidFill>
                <a:sysClr val="window" lastClr="FFFFFF"/>
              </a:solidFill>
              <a:latin typeface="Calibri" panose="020F0502020204030204"/>
              <a:ea typeface="+mn-ea"/>
              <a:cs typeface="+mn-cs"/>
            </a:rPr>
            <a:t>							National Rate: 25%</a:t>
          </a:r>
        </a:p>
        <a:p>
          <a:pPr>
            <a:buNone/>
          </a:pPr>
          <a:r>
            <a:rPr lang="en-US" sz="1050">
              <a:solidFill>
                <a:sysClr val="window" lastClr="FFFFFF"/>
              </a:solidFill>
              <a:latin typeface="Calibri" panose="020F0502020204030204"/>
              <a:ea typeface="+mn-ea"/>
              <a:cs typeface="+mn-cs"/>
            </a:rPr>
            <a:t>							Number of Included ED Visits: 100,000</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LinFactNeighborX="-14005" custLinFactNeighborY="-835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a:xfrm>
          <a:off x="0" y="0"/>
          <a:ext cx="6108700" cy="932538"/>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200">
              <a:solidFill>
                <a:sysClr val="window" lastClr="FFFFFF"/>
              </a:solidFill>
              <a:latin typeface="Calibri" panose="020F0502020204030204"/>
              <a:ea typeface="+mn-ea"/>
              <a:cs typeface="+mn-cs"/>
            </a:rPr>
            <a:t>CCN X Emergency Care Access Failure Rate*		</a:t>
          </a:r>
        </a:p>
        <a:p>
          <a:pPr>
            <a:buNone/>
          </a:pPr>
          <a:r>
            <a:rPr lang="en-US" sz="1200">
              <a:solidFill>
                <a:sysClr val="window" lastClr="FFFFFF"/>
              </a:solidFill>
              <a:latin typeface="Calibri" panose="020F0502020204030204"/>
              <a:ea typeface="+mn-ea"/>
              <a:cs typeface="+mn-cs"/>
            </a:rPr>
            <a:t>	Adult, Non-Mental Health				</a:t>
          </a:r>
          <a:r>
            <a:rPr lang="en-US" sz="1200" b="1">
              <a:solidFill>
                <a:sysClr val="window" lastClr="FFFFFF"/>
              </a:solidFill>
              <a:latin typeface="Calibri" panose="020F0502020204030204"/>
              <a:ea typeface="+mn-ea"/>
              <a:cs typeface="+mn-cs"/>
            </a:rPr>
            <a:t>22%</a:t>
          </a:r>
        </a:p>
        <a:p>
          <a:pPr>
            <a:buNone/>
          </a:pPr>
          <a:r>
            <a:rPr lang="en-US" sz="1050">
              <a:solidFill>
                <a:sysClr val="window" lastClr="FFFFFF"/>
              </a:solidFill>
              <a:latin typeface="Calibri" panose="020F0502020204030204"/>
              <a:ea typeface="+mn-ea"/>
              <a:cs typeface="+mn-cs"/>
            </a:rPr>
            <a:t>							National Rate: 20%</a:t>
          </a:r>
        </a:p>
        <a:p>
          <a:pPr>
            <a:buNone/>
          </a:pPr>
          <a:r>
            <a:rPr lang="en-US" sz="1050">
              <a:solidFill>
                <a:sysClr val="window" lastClr="FFFFFF"/>
              </a:solidFill>
              <a:latin typeface="Calibri" panose="020F0502020204030204"/>
              <a:ea typeface="+mn-ea"/>
              <a:cs typeface="+mn-cs"/>
            </a:rPr>
            <a:t>							Number of Included ED Visits: 60,000</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ScaleY="193578" custLinFactNeighborX="-14005" custLinFactNeighborY="-835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a:xfrm>
          <a:off x="0" y="71637"/>
          <a:ext cx="5943600" cy="769740"/>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200">
              <a:solidFill>
                <a:sysClr val="window" lastClr="FFFFFF"/>
              </a:solidFill>
              <a:latin typeface="Calibri" panose="020F0502020204030204"/>
              <a:ea typeface="+mn-ea"/>
              <a:cs typeface="+mn-cs"/>
            </a:rPr>
            <a:t>CCN X Emergency Care Access Failure Rate*		</a:t>
          </a:r>
          <a:r>
            <a:rPr lang="en-US" sz="1200" b="1">
              <a:solidFill>
                <a:sysClr val="window" lastClr="FFFFFF"/>
              </a:solidFill>
              <a:latin typeface="Calibri" panose="020F0502020204030204"/>
              <a:ea typeface="+mn-ea"/>
              <a:cs typeface="+mn-cs"/>
            </a:rPr>
            <a:t>70%</a:t>
          </a:r>
        </a:p>
        <a:p>
          <a:pPr>
            <a:buNone/>
          </a:pPr>
          <a:r>
            <a:rPr lang="en-US" sz="1200">
              <a:solidFill>
                <a:sysClr val="window" lastClr="FFFFFF"/>
              </a:solidFill>
              <a:latin typeface="Calibri" panose="020F0502020204030204"/>
              <a:ea typeface="+mn-ea"/>
              <a:cs typeface="+mn-cs"/>
            </a:rPr>
            <a:t>	Adult, Mental Health				</a:t>
          </a:r>
          <a:r>
            <a:rPr lang="en-US" sz="1050">
              <a:solidFill>
                <a:sysClr val="window" lastClr="FFFFFF"/>
              </a:solidFill>
              <a:latin typeface="Calibri" panose="020F0502020204030204"/>
              <a:ea typeface="+mn-ea"/>
              <a:cs typeface="+mn-cs"/>
            </a:rPr>
            <a:t>National Rate: 65%									Number of Included ED Visits: 20,000							</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ScaleY="158897" custLinFactNeighborX="-14005" custLinFactNeighborY="-835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a:xfrm>
          <a:off x="0" y="37013"/>
          <a:ext cx="5943600" cy="928368"/>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200">
              <a:solidFill>
                <a:sysClr val="window" lastClr="FFFFFF"/>
              </a:solidFill>
              <a:latin typeface="Calibri" panose="020F0502020204030204"/>
              <a:ea typeface="+mn-ea"/>
              <a:cs typeface="+mn-cs"/>
            </a:rPr>
            <a:t>CCN X Emergency Care Access Failure Rate*</a:t>
          </a:r>
        </a:p>
        <a:p>
          <a:pPr>
            <a:buNone/>
          </a:pPr>
          <a:r>
            <a:rPr lang="en-US" sz="1200">
              <a:solidFill>
                <a:sysClr val="window" lastClr="FFFFFF"/>
              </a:solidFill>
              <a:latin typeface="Calibri" panose="020F0502020204030204"/>
              <a:ea typeface="+mn-ea"/>
              <a:cs typeface="+mn-cs"/>
            </a:rPr>
            <a:t>	Pediatric, Mental Health				</a:t>
          </a:r>
          <a:r>
            <a:rPr lang="en-US" sz="1200" b="1">
              <a:solidFill>
                <a:sysClr val="window" lastClr="FFFFFF"/>
              </a:solidFill>
              <a:latin typeface="Calibri" panose="020F0502020204030204"/>
              <a:ea typeface="+mn-ea"/>
              <a:cs typeface="+mn-cs"/>
            </a:rPr>
            <a:t>70%</a:t>
          </a:r>
        </a:p>
        <a:p>
          <a:pPr>
            <a:buNone/>
          </a:pPr>
          <a:r>
            <a:rPr lang="en-US" sz="1050">
              <a:solidFill>
                <a:sysClr val="window" lastClr="FFFFFF"/>
              </a:solidFill>
              <a:latin typeface="Calibri" panose="020F0502020204030204"/>
              <a:ea typeface="+mn-ea"/>
              <a:cs typeface="+mn-cs"/>
            </a:rPr>
            <a:t>							National Rate: 65%</a:t>
          </a:r>
        </a:p>
        <a:p>
          <a:pPr>
            <a:buNone/>
          </a:pPr>
          <a:r>
            <a:rPr lang="en-US" sz="1050">
              <a:solidFill>
                <a:sysClr val="window" lastClr="FFFFFF"/>
              </a:solidFill>
              <a:latin typeface="Calibri" panose="020F0502020204030204"/>
              <a:ea typeface="+mn-ea"/>
              <a:cs typeface="+mn-cs"/>
            </a:rPr>
            <a:t>							Number of Included ED Visits: 5,000</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ScaleY="184710" custLinFactNeighborX="107" custLinFactNeighborY="-9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a:xfrm>
          <a:off x="0" y="0"/>
          <a:ext cx="5943600" cy="928368"/>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200">
              <a:solidFill>
                <a:sysClr val="window" lastClr="FFFFFF"/>
              </a:solidFill>
              <a:latin typeface="Calibri" panose="020F0502020204030204"/>
              <a:ea typeface="+mn-ea"/>
              <a:cs typeface="+mn-cs"/>
            </a:rPr>
            <a:t>CCN X Emergency Care Access Failure Rate*</a:t>
          </a:r>
        </a:p>
        <a:p>
          <a:pPr>
            <a:buNone/>
          </a:pPr>
          <a:r>
            <a:rPr lang="en-US" sz="1200">
              <a:solidFill>
                <a:sysClr val="window" lastClr="FFFFFF"/>
              </a:solidFill>
              <a:latin typeface="Calibri" panose="020F0502020204030204"/>
              <a:ea typeface="+mn-ea"/>
              <a:cs typeface="+mn-cs"/>
            </a:rPr>
            <a:t>	Pediatric, Non-Mental Health			</a:t>
          </a:r>
          <a:r>
            <a:rPr lang="en-US" sz="1200" b="1">
              <a:solidFill>
                <a:sysClr val="window" lastClr="FFFFFF"/>
              </a:solidFill>
              <a:latin typeface="Calibri" panose="020F0502020204030204"/>
              <a:ea typeface="+mn-ea"/>
              <a:cs typeface="+mn-cs"/>
            </a:rPr>
            <a:t>5%</a:t>
          </a:r>
        </a:p>
        <a:p>
          <a:pPr>
            <a:buNone/>
          </a:pPr>
          <a:r>
            <a:rPr lang="en-US" sz="1050">
              <a:solidFill>
                <a:sysClr val="window" lastClr="FFFFFF"/>
              </a:solidFill>
              <a:latin typeface="Calibri" panose="020F0502020204030204"/>
              <a:ea typeface="+mn-ea"/>
              <a:cs typeface="+mn-cs"/>
            </a:rPr>
            <a:t>							National Rate: 6%</a:t>
          </a:r>
        </a:p>
        <a:p>
          <a:pPr>
            <a:buNone/>
          </a:pPr>
          <a:r>
            <a:rPr lang="en-US" sz="1050">
              <a:solidFill>
                <a:sysClr val="window" lastClr="FFFFFF"/>
              </a:solidFill>
              <a:latin typeface="Calibri" panose="020F0502020204030204"/>
              <a:ea typeface="+mn-ea"/>
              <a:cs typeface="+mn-cs"/>
            </a:rPr>
            <a:t>							Number of Included ED Visits: 15,000</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ScaleY="184710" custLinFactNeighborX="-14005" custLinFactNeighborY="-835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0"/>
          <a:ext cx="6032500" cy="666168"/>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solidFill>
                <a:sysClr val="window" lastClr="FFFFFF"/>
              </a:solidFill>
              <a:latin typeface="Calibri" panose="020F0502020204030204"/>
              <a:ea typeface="+mn-ea"/>
              <a:cs typeface="+mn-cs"/>
            </a:rPr>
            <a:t>CCN X Emergency Care Access Failure Rate**		</a:t>
          </a:r>
          <a:r>
            <a:rPr lang="en-US" sz="1200" b="1" kern="1200">
              <a:solidFill>
                <a:sysClr val="window" lastClr="FFFFFF"/>
              </a:solidFill>
              <a:latin typeface="Calibri" panose="020F0502020204030204"/>
              <a:ea typeface="+mn-ea"/>
              <a:cs typeface="+mn-cs"/>
            </a:rPr>
            <a:t>20%</a:t>
          </a:r>
        </a:p>
        <a:p>
          <a:pPr marL="0" lvl="0" indent="0" algn="l" defTabSz="533400">
            <a:lnSpc>
              <a:spcPct val="90000"/>
            </a:lnSpc>
            <a:spcBef>
              <a:spcPct val="0"/>
            </a:spcBef>
            <a:spcAft>
              <a:spcPct val="35000"/>
            </a:spcAft>
            <a:buNone/>
          </a:pPr>
          <a:r>
            <a:rPr lang="en-US" sz="1050" kern="1200">
              <a:solidFill>
                <a:sysClr val="window" lastClr="FFFFFF"/>
              </a:solidFill>
              <a:latin typeface="Calibri" panose="020F0502020204030204"/>
              <a:ea typeface="+mn-ea"/>
              <a:cs typeface="+mn-cs"/>
            </a:rPr>
            <a:t>							National Rate: 25%</a:t>
          </a:r>
        </a:p>
        <a:p>
          <a:pPr marL="0" lvl="0" indent="0" algn="l" defTabSz="533400">
            <a:lnSpc>
              <a:spcPct val="90000"/>
            </a:lnSpc>
            <a:spcBef>
              <a:spcPct val="0"/>
            </a:spcBef>
            <a:spcAft>
              <a:spcPct val="35000"/>
            </a:spcAft>
            <a:buNone/>
          </a:pPr>
          <a:r>
            <a:rPr lang="en-US" sz="1050" kern="1200">
              <a:solidFill>
                <a:sysClr val="window" lastClr="FFFFFF"/>
              </a:solidFill>
              <a:latin typeface="Calibri" panose="020F0502020204030204"/>
              <a:ea typeface="+mn-ea"/>
              <a:cs typeface="+mn-cs"/>
            </a:rPr>
            <a:t>							Number of Included ED Visits: 100,000</a:t>
          </a:r>
        </a:p>
      </dsp:txBody>
      <dsp:txXfrm>
        <a:off x="32520" y="32520"/>
        <a:ext cx="5967460" cy="60112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0"/>
          <a:ext cx="6108700" cy="932538"/>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solidFill>
                <a:sysClr val="window" lastClr="FFFFFF"/>
              </a:solidFill>
              <a:latin typeface="Calibri" panose="020F0502020204030204"/>
              <a:ea typeface="+mn-ea"/>
              <a:cs typeface="+mn-cs"/>
            </a:rPr>
            <a:t>CCN X Emergency Care Access Failure Rate*		</a:t>
          </a:r>
        </a:p>
        <a:p>
          <a:pPr marL="0" lvl="0" indent="0" algn="l" defTabSz="533400">
            <a:lnSpc>
              <a:spcPct val="90000"/>
            </a:lnSpc>
            <a:spcBef>
              <a:spcPct val="0"/>
            </a:spcBef>
            <a:spcAft>
              <a:spcPct val="35000"/>
            </a:spcAft>
            <a:buNone/>
          </a:pPr>
          <a:r>
            <a:rPr lang="en-US" sz="1200" kern="1200">
              <a:solidFill>
                <a:sysClr val="window" lastClr="FFFFFF"/>
              </a:solidFill>
              <a:latin typeface="Calibri" panose="020F0502020204030204"/>
              <a:ea typeface="+mn-ea"/>
              <a:cs typeface="+mn-cs"/>
            </a:rPr>
            <a:t>	Adult, Non-Mental Health				</a:t>
          </a:r>
          <a:r>
            <a:rPr lang="en-US" sz="1200" b="1" kern="1200">
              <a:solidFill>
                <a:sysClr val="window" lastClr="FFFFFF"/>
              </a:solidFill>
              <a:latin typeface="Calibri" panose="020F0502020204030204"/>
              <a:ea typeface="+mn-ea"/>
              <a:cs typeface="+mn-cs"/>
            </a:rPr>
            <a:t>22%</a:t>
          </a:r>
        </a:p>
        <a:p>
          <a:pPr marL="0" lvl="0" indent="0" algn="l" defTabSz="533400">
            <a:lnSpc>
              <a:spcPct val="90000"/>
            </a:lnSpc>
            <a:spcBef>
              <a:spcPct val="0"/>
            </a:spcBef>
            <a:spcAft>
              <a:spcPct val="35000"/>
            </a:spcAft>
            <a:buNone/>
          </a:pPr>
          <a:r>
            <a:rPr lang="en-US" sz="1050" kern="1200">
              <a:solidFill>
                <a:sysClr val="window" lastClr="FFFFFF"/>
              </a:solidFill>
              <a:latin typeface="Calibri" panose="020F0502020204030204"/>
              <a:ea typeface="+mn-ea"/>
              <a:cs typeface="+mn-cs"/>
            </a:rPr>
            <a:t>							National Rate: 20%</a:t>
          </a:r>
        </a:p>
        <a:p>
          <a:pPr marL="0" lvl="0" indent="0" algn="l" defTabSz="533400">
            <a:lnSpc>
              <a:spcPct val="90000"/>
            </a:lnSpc>
            <a:spcBef>
              <a:spcPct val="0"/>
            </a:spcBef>
            <a:spcAft>
              <a:spcPct val="35000"/>
            </a:spcAft>
            <a:buNone/>
          </a:pPr>
          <a:r>
            <a:rPr lang="en-US" sz="1050" kern="1200">
              <a:solidFill>
                <a:sysClr val="window" lastClr="FFFFFF"/>
              </a:solidFill>
              <a:latin typeface="Calibri" panose="020F0502020204030204"/>
              <a:ea typeface="+mn-ea"/>
              <a:cs typeface="+mn-cs"/>
            </a:rPr>
            <a:t>							Number of Included ED Visits: 60,000</a:t>
          </a:r>
        </a:p>
      </dsp:txBody>
      <dsp:txXfrm>
        <a:off x="45523" y="45523"/>
        <a:ext cx="6017654" cy="84149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108504"/>
          <a:ext cx="5943600" cy="705766"/>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solidFill>
                <a:sysClr val="window" lastClr="FFFFFF"/>
              </a:solidFill>
              <a:latin typeface="Calibri" panose="020F0502020204030204"/>
              <a:ea typeface="+mn-ea"/>
              <a:cs typeface="+mn-cs"/>
            </a:rPr>
            <a:t>CCN X Emergency Care Access Failure Rate*		</a:t>
          </a:r>
          <a:r>
            <a:rPr lang="en-US" sz="1200" b="1" kern="1200">
              <a:solidFill>
                <a:sysClr val="window" lastClr="FFFFFF"/>
              </a:solidFill>
              <a:latin typeface="Calibri" panose="020F0502020204030204"/>
              <a:ea typeface="+mn-ea"/>
              <a:cs typeface="+mn-cs"/>
            </a:rPr>
            <a:t>70%</a:t>
          </a:r>
        </a:p>
        <a:p>
          <a:pPr marL="0" lvl="0" indent="0" algn="l" defTabSz="533400">
            <a:lnSpc>
              <a:spcPct val="90000"/>
            </a:lnSpc>
            <a:spcBef>
              <a:spcPct val="0"/>
            </a:spcBef>
            <a:spcAft>
              <a:spcPct val="35000"/>
            </a:spcAft>
            <a:buNone/>
          </a:pPr>
          <a:r>
            <a:rPr lang="en-US" sz="1200" kern="1200">
              <a:solidFill>
                <a:sysClr val="window" lastClr="FFFFFF"/>
              </a:solidFill>
              <a:latin typeface="Calibri" panose="020F0502020204030204"/>
              <a:ea typeface="+mn-ea"/>
              <a:cs typeface="+mn-cs"/>
            </a:rPr>
            <a:t>	Adult, Mental Health				</a:t>
          </a:r>
          <a:r>
            <a:rPr lang="en-US" sz="1050" kern="1200">
              <a:solidFill>
                <a:sysClr val="window" lastClr="FFFFFF"/>
              </a:solidFill>
              <a:latin typeface="Calibri" panose="020F0502020204030204"/>
              <a:ea typeface="+mn-ea"/>
              <a:cs typeface="+mn-cs"/>
            </a:rPr>
            <a:t>National Rate: 65%									Number of Included ED Visits: 20,000							</a:t>
          </a:r>
        </a:p>
      </dsp:txBody>
      <dsp:txXfrm>
        <a:off x="34453" y="142957"/>
        <a:ext cx="5874694" cy="63686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37013"/>
          <a:ext cx="5943600" cy="928368"/>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solidFill>
                <a:sysClr val="window" lastClr="FFFFFF"/>
              </a:solidFill>
              <a:latin typeface="Calibri" panose="020F0502020204030204"/>
              <a:ea typeface="+mn-ea"/>
              <a:cs typeface="+mn-cs"/>
            </a:rPr>
            <a:t>CCN X Emergency Care Access Failure Rate*</a:t>
          </a:r>
        </a:p>
        <a:p>
          <a:pPr marL="0" lvl="0" indent="0" algn="l" defTabSz="533400">
            <a:lnSpc>
              <a:spcPct val="90000"/>
            </a:lnSpc>
            <a:spcBef>
              <a:spcPct val="0"/>
            </a:spcBef>
            <a:spcAft>
              <a:spcPct val="35000"/>
            </a:spcAft>
            <a:buNone/>
          </a:pPr>
          <a:r>
            <a:rPr lang="en-US" sz="1200" kern="1200">
              <a:solidFill>
                <a:sysClr val="window" lastClr="FFFFFF"/>
              </a:solidFill>
              <a:latin typeface="Calibri" panose="020F0502020204030204"/>
              <a:ea typeface="+mn-ea"/>
              <a:cs typeface="+mn-cs"/>
            </a:rPr>
            <a:t>	Pediatric, Mental Health				</a:t>
          </a:r>
          <a:r>
            <a:rPr lang="en-US" sz="1200" b="1" kern="1200">
              <a:solidFill>
                <a:sysClr val="window" lastClr="FFFFFF"/>
              </a:solidFill>
              <a:latin typeface="Calibri" panose="020F0502020204030204"/>
              <a:ea typeface="+mn-ea"/>
              <a:cs typeface="+mn-cs"/>
            </a:rPr>
            <a:t>70%</a:t>
          </a:r>
        </a:p>
        <a:p>
          <a:pPr marL="0" lvl="0" indent="0" algn="l" defTabSz="533400">
            <a:lnSpc>
              <a:spcPct val="90000"/>
            </a:lnSpc>
            <a:spcBef>
              <a:spcPct val="0"/>
            </a:spcBef>
            <a:spcAft>
              <a:spcPct val="35000"/>
            </a:spcAft>
            <a:buNone/>
          </a:pPr>
          <a:r>
            <a:rPr lang="en-US" sz="1050" kern="1200">
              <a:solidFill>
                <a:sysClr val="window" lastClr="FFFFFF"/>
              </a:solidFill>
              <a:latin typeface="Calibri" panose="020F0502020204030204"/>
              <a:ea typeface="+mn-ea"/>
              <a:cs typeface="+mn-cs"/>
            </a:rPr>
            <a:t>							National Rate: 65%</a:t>
          </a:r>
        </a:p>
        <a:p>
          <a:pPr marL="0" lvl="0" indent="0" algn="l" defTabSz="533400">
            <a:lnSpc>
              <a:spcPct val="90000"/>
            </a:lnSpc>
            <a:spcBef>
              <a:spcPct val="0"/>
            </a:spcBef>
            <a:spcAft>
              <a:spcPct val="35000"/>
            </a:spcAft>
            <a:buNone/>
          </a:pPr>
          <a:r>
            <a:rPr lang="en-US" sz="1050" kern="1200">
              <a:solidFill>
                <a:sysClr val="window" lastClr="FFFFFF"/>
              </a:solidFill>
              <a:latin typeface="Calibri" panose="020F0502020204030204"/>
              <a:ea typeface="+mn-ea"/>
              <a:cs typeface="+mn-cs"/>
            </a:rPr>
            <a:t>							Number of Included ED Visits: 5,000</a:t>
          </a:r>
        </a:p>
      </dsp:txBody>
      <dsp:txXfrm>
        <a:off x="45319" y="82332"/>
        <a:ext cx="5852962" cy="83773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0"/>
          <a:ext cx="5943600" cy="928368"/>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solidFill>
                <a:sysClr val="window" lastClr="FFFFFF"/>
              </a:solidFill>
              <a:latin typeface="Calibri" panose="020F0502020204030204"/>
              <a:ea typeface="+mn-ea"/>
              <a:cs typeface="+mn-cs"/>
            </a:rPr>
            <a:t>CCN X Emergency Care Access Failure Rate*</a:t>
          </a:r>
        </a:p>
        <a:p>
          <a:pPr marL="0" lvl="0" indent="0" algn="l" defTabSz="533400">
            <a:lnSpc>
              <a:spcPct val="90000"/>
            </a:lnSpc>
            <a:spcBef>
              <a:spcPct val="0"/>
            </a:spcBef>
            <a:spcAft>
              <a:spcPct val="35000"/>
            </a:spcAft>
            <a:buNone/>
          </a:pPr>
          <a:r>
            <a:rPr lang="en-US" sz="1200" kern="1200">
              <a:solidFill>
                <a:sysClr val="window" lastClr="FFFFFF"/>
              </a:solidFill>
              <a:latin typeface="Calibri" panose="020F0502020204030204"/>
              <a:ea typeface="+mn-ea"/>
              <a:cs typeface="+mn-cs"/>
            </a:rPr>
            <a:t>	Pediatric, Non-Mental Health			</a:t>
          </a:r>
          <a:r>
            <a:rPr lang="en-US" sz="1200" b="1" kern="1200">
              <a:solidFill>
                <a:sysClr val="window" lastClr="FFFFFF"/>
              </a:solidFill>
              <a:latin typeface="Calibri" panose="020F0502020204030204"/>
              <a:ea typeface="+mn-ea"/>
              <a:cs typeface="+mn-cs"/>
            </a:rPr>
            <a:t>5%</a:t>
          </a:r>
        </a:p>
        <a:p>
          <a:pPr marL="0" lvl="0" indent="0" algn="l" defTabSz="533400">
            <a:lnSpc>
              <a:spcPct val="90000"/>
            </a:lnSpc>
            <a:spcBef>
              <a:spcPct val="0"/>
            </a:spcBef>
            <a:spcAft>
              <a:spcPct val="35000"/>
            </a:spcAft>
            <a:buNone/>
          </a:pPr>
          <a:r>
            <a:rPr lang="en-US" sz="1050" kern="1200">
              <a:solidFill>
                <a:sysClr val="window" lastClr="FFFFFF"/>
              </a:solidFill>
              <a:latin typeface="Calibri" panose="020F0502020204030204"/>
              <a:ea typeface="+mn-ea"/>
              <a:cs typeface="+mn-cs"/>
            </a:rPr>
            <a:t>							National Rate: 6%</a:t>
          </a:r>
        </a:p>
        <a:p>
          <a:pPr marL="0" lvl="0" indent="0" algn="l" defTabSz="533400">
            <a:lnSpc>
              <a:spcPct val="90000"/>
            </a:lnSpc>
            <a:spcBef>
              <a:spcPct val="0"/>
            </a:spcBef>
            <a:spcAft>
              <a:spcPct val="35000"/>
            </a:spcAft>
            <a:buNone/>
          </a:pPr>
          <a:r>
            <a:rPr lang="en-US" sz="1050" kern="1200">
              <a:solidFill>
                <a:sysClr val="window" lastClr="FFFFFF"/>
              </a:solidFill>
              <a:latin typeface="Calibri" panose="020F0502020204030204"/>
              <a:ea typeface="+mn-ea"/>
              <a:cs typeface="+mn-cs"/>
            </a:rPr>
            <a:t>							Number of Included ED Visits: 15,000</a:t>
          </a:r>
        </a:p>
      </dsp:txBody>
      <dsp:txXfrm>
        <a:off x="45319" y="45319"/>
        <a:ext cx="5852962" cy="837730"/>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ocumenttasks/documenttasks1.xml><?xml version="1.0" encoding="utf-8"?>
<t:Tasks xmlns:t="http://schemas.microsoft.com/office/tasks/2019/documenttasks" xmlns:oel="http://schemas.microsoft.com/office/2019/extlst">
  <t:Task id="{A12B6D85-291B-4EE0-B4B1-ED0253A6CA14}">
    <t:Anchor>
      <t:Comment id="552710402"/>
    </t:Anchor>
    <t:History>
      <t:Event id="{41788FDB-AF7B-4F84-BD28-2F833A80FA14}" time="2024-03-12T17:37:03.388Z">
        <t:Attribution userId="S::doris.peter@yale.edu::94212fad-76df-42d1-9617-4bccd4b31d5b" userProvider="AD" userName="Peter, Doris"/>
        <t:Anchor>
          <t:Comment id="1431931413"/>
        </t:Anchor>
        <t:Create/>
      </t:Event>
      <t:Event id="{7689AD7F-8260-4955-8F9E-304BEA7394A7}" time="2024-03-12T17:37:03.388Z">
        <t:Attribution userId="S::doris.peter@yale.edu::94212fad-76df-42d1-9617-4bccd4b31d5b" userProvider="AD" userName="Peter, Doris"/>
        <t:Anchor>
          <t:Comment id="1431931413"/>
        </t:Anchor>
        <t:Assign userId="S::leianna.dolce@yale.edu::d726cb52-4b1e-4830-afb4-f4de70cf0a28" userProvider="AD" userName="Dolce, Leianna"/>
      </t:Event>
      <t:Event id="{BBC8281D-182F-4335-88AA-54B10ED2701A}" time="2024-03-12T17:37:03.388Z">
        <t:Attribution userId="S::doris.peter@yale.edu::94212fad-76df-42d1-9617-4bccd4b31d5b" userProvider="AD" userName="Peter, Doris"/>
        <t:Anchor>
          <t:Comment id="1431931413"/>
        </t:Anchor>
        <t:SetTitle title="@Dolce, Leianna Can you clarify what Arjun disagrees with? Measuring &quot;transfer boarding&quot;?"/>
      </t:Event>
    </t:History>
  </t:Task>
  <t:Task id="{0DCEAE4D-3DA5-41B1-9000-34A5966450D6}">
    <t:Anchor>
      <t:Comment id="786611552"/>
    </t:Anchor>
    <t:History>
      <t:Event id="{A7969E9C-207F-42F3-A948-8811D9BA3A77}" time="2024-04-12T13:56:42.654Z">
        <t:Attribution userId="S::clarissa.myers@yale.edu::77be4056-c8a5-4b67-a710-2c24d29af0b8" userProvider="AD" userName="Myers, Clarissa"/>
        <t:Anchor>
          <t:Comment id="833598942"/>
        </t:Anchor>
        <t:Create/>
      </t:Event>
      <t:Event id="{6464D7B0-ABA7-4913-AED7-A694094985CD}" time="2024-04-12T13:56:42.654Z">
        <t:Attribution userId="S::clarissa.myers@yale.edu::77be4056-c8a5-4b67-a710-2c24d29af0b8" userProvider="AD" userName="Myers, Clarissa"/>
        <t:Anchor>
          <t:Comment id="833598942"/>
        </t:Anchor>
        <t:Assign userId="S::rebekah.heckmann@yale.edu::887fee3a-1888-4558-a3e6-d81060bfa724" userProvider="AD" userName="Heckmann, Rebekah"/>
      </t:Event>
      <t:Event id="{AFFAAB47-C435-47A1-B4F3-D31011C374EC}" time="2024-04-12T13:56:42.654Z">
        <t:Attribution userId="S::clarissa.myers@yale.edu::77be4056-c8a5-4b67-a710-2c24d29af0b8" userProvider="AD" userName="Myers, Clarissa"/>
        <t:Anchor>
          <t:Comment id="833598942"/>
        </t:Anchor>
        <t:SetTitle title="@Heckmann, Rebekah can you weigh in? primary versus principal?"/>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94be05e-0ada-4d9e-b879-b11750813aea" xsi:nil="true"/>
    <lcf76f155ced4ddcb4097134ff3c332f xmlns="52e123fc-06a7-4c51-b408-b472ec6e773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7EDD7876A1F6D4D955DDB1EB67E715F" ma:contentTypeVersion="14" ma:contentTypeDescription="Create a new document." ma:contentTypeScope="" ma:versionID="b6c681379d15a0ed65b9ff73a1b680dc">
  <xsd:schema xmlns:xsd="http://www.w3.org/2001/XMLSchema" xmlns:xs="http://www.w3.org/2001/XMLSchema" xmlns:p="http://schemas.microsoft.com/office/2006/metadata/properties" xmlns:ns2="52e123fc-06a7-4c51-b408-b472ec6e7731" xmlns:ns3="694be05e-0ada-4d9e-b879-b11750813aea" targetNamespace="http://schemas.microsoft.com/office/2006/metadata/properties" ma:root="true" ma:fieldsID="eb8dca7cf89e7e04b3872a3038e813b9" ns2:_="" ns3:_="">
    <xsd:import namespace="52e123fc-06a7-4c51-b408-b472ec6e7731"/>
    <xsd:import namespace="694be05e-0ada-4d9e-b879-b11750813a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e123fc-06a7-4c51-b408-b472ec6e77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d9ce95e-1345-4484-817e-41007f75531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4be05e-0ada-4d9e-b879-b11750813a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fbb4c8f-1c9b-4075-b79c-cdfa3b015871}" ma:internalName="TaxCatchAll" ma:showField="CatchAllData" ma:web="694be05e-0ada-4d9e-b879-b11750813a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875427-888F-4D37-B070-61492C1C995B}">
  <ds:schemaRefs>
    <ds:schemaRef ds:uri="http://schemas.microsoft.com/sharepoint/v3/contenttype/forms"/>
  </ds:schemaRefs>
</ds:datastoreItem>
</file>

<file path=customXml/itemProps2.xml><?xml version="1.0" encoding="utf-8"?>
<ds:datastoreItem xmlns:ds="http://schemas.openxmlformats.org/officeDocument/2006/customXml" ds:itemID="{9EAB2715-C73F-4BD1-AA7B-9BF5324B9646}">
  <ds:schemaRefs>
    <ds:schemaRef ds:uri="http://schemas.microsoft.com/office/2006/metadata/properties"/>
    <ds:schemaRef ds:uri="http://schemas.microsoft.com/office/infopath/2007/PartnerControls"/>
    <ds:schemaRef ds:uri="694be05e-0ada-4d9e-b879-b11750813aea"/>
    <ds:schemaRef ds:uri="52e123fc-06a7-4c51-b408-b472ec6e7731"/>
  </ds:schemaRefs>
</ds:datastoreItem>
</file>

<file path=customXml/itemProps3.xml><?xml version="1.0" encoding="utf-8"?>
<ds:datastoreItem xmlns:ds="http://schemas.openxmlformats.org/officeDocument/2006/customXml" ds:itemID="{4F05D700-B662-4692-AB54-C96609EB5F2F}">
  <ds:schemaRefs>
    <ds:schemaRef ds:uri="http://schemas.openxmlformats.org/officeDocument/2006/bibliography"/>
  </ds:schemaRefs>
</ds:datastoreItem>
</file>

<file path=customXml/itemProps4.xml><?xml version="1.0" encoding="utf-8"?>
<ds:datastoreItem xmlns:ds="http://schemas.openxmlformats.org/officeDocument/2006/customXml" ds:itemID="{A93C286F-1319-4E51-B3C3-E86B18920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e123fc-06a7-4c51-b408-b472ec6e7731"/>
    <ds:schemaRef ds:uri="694be05e-0ada-4d9e-b879-b11750813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1335</Words>
  <Characters>7611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8929</CharactersWithSpaces>
  <SharedDoc>false</SharedDoc>
  <HLinks>
    <vt:vector size="6" baseType="variant">
      <vt:variant>
        <vt:i4>917522</vt:i4>
      </vt:variant>
      <vt:variant>
        <vt:i4>0</vt:i4>
      </vt:variant>
      <vt:variant>
        <vt:i4>0</vt:i4>
      </vt:variant>
      <vt:variant>
        <vt:i4>5</vt:i4>
      </vt:variant>
      <vt:variant>
        <vt:lpwstr/>
      </vt:variant>
      <vt:variant>
        <vt:lpwstr>Bookmark3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ECCQ eCQM HOQR Measure Specifications</dc:title>
  <dc:subject/>
  <dc:creator>Myers, Clarissa</dc:creator>
  <cp:keywords>Measure Specifications</cp:keywords>
  <dc:description/>
  <cp:lastModifiedBy>Gentry, Lali (US)</cp:lastModifiedBy>
  <cp:revision>5</cp:revision>
  <dcterms:created xsi:type="dcterms:W3CDTF">2024-05-02T16:35:00Z</dcterms:created>
  <dcterms:modified xsi:type="dcterms:W3CDTF">2024-11-22T18:51:00Z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0x01010077EDD7876A1F6D4D955DDB1EB67E715F</vt:lpwstr>
  </property>
  <property fmtid="{D5CDD505-2E9C-101B-9397-08002B2CF9AE}" pid="3" name="MediaServiceImageTags">
    <vt:lpwstr/>
  </property>
</Properties>
</file>